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7CC089">
      <w:pPr>
        <w:spacing w:line="360" w:lineRule="auto"/>
        <w:jc w:val="center"/>
        <w:rPr>
          <w:rFonts w:hint="eastAsia" w:ascii="宋体" w:hAnsi="宋体" w:eastAsia="宋体" w:cs="宋体"/>
          <w:b/>
          <w:sz w:val="52"/>
          <w:szCs w:val="52"/>
          <w:lang w:val="en-US" w:eastAsia="zh-CN"/>
        </w:rPr>
      </w:pPr>
    </w:p>
    <w:p w14:paraId="677AF6B8">
      <w:pPr>
        <w:spacing w:line="360" w:lineRule="auto"/>
        <w:jc w:val="center"/>
        <w:rPr>
          <w:rFonts w:hint="eastAsia" w:ascii="宋体" w:hAnsi="宋体" w:eastAsia="宋体" w:cs="宋体"/>
          <w:b/>
          <w:sz w:val="52"/>
          <w:szCs w:val="52"/>
          <w:lang w:val="en-US" w:eastAsia="zh-CN"/>
        </w:rPr>
      </w:pPr>
    </w:p>
    <w:p w14:paraId="465E2182">
      <w:pPr>
        <w:spacing w:line="360" w:lineRule="auto"/>
        <w:jc w:val="center"/>
        <w:rPr>
          <w:rFonts w:hint="eastAsia" w:ascii="宋体" w:hAnsi="宋体" w:eastAsia="宋体" w:cs="宋体"/>
          <w:b/>
          <w:sz w:val="52"/>
          <w:szCs w:val="52"/>
          <w:lang w:val="en-US" w:eastAsia="zh-CN"/>
        </w:rPr>
      </w:pPr>
    </w:p>
    <w:p w14:paraId="35D476AB">
      <w:pPr>
        <w:spacing w:line="360" w:lineRule="auto"/>
        <w:jc w:val="center"/>
        <w:rPr>
          <w:rFonts w:hint="eastAsia" w:ascii="宋体" w:hAnsi="宋体" w:eastAsia="宋体" w:cs="宋体"/>
          <w:b/>
          <w:sz w:val="52"/>
          <w:szCs w:val="52"/>
          <w:lang w:val="en-US" w:eastAsia="zh-CN"/>
        </w:rPr>
      </w:pPr>
      <w:r>
        <w:rPr>
          <w:rFonts w:hint="eastAsia" w:ascii="宋体" w:hAnsi="宋体" w:eastAsia="宋体" w:cs="宋体"/>
          <w:b/>
          <w:sz w:val="52"/>
          <w:szCs w:val="52"/>
          <w:lang w:val="en-US" w:eastAsia="zh-CN"/>
        </w:rPr>
        <w:t>山东金岭矿业股份有限公司</w:t>
      </w:r>
    </w:p>
    <w:p w14:paraId="440B3FD1">
      <w:pPr>
        <w:spacing w:line="360" w:lineRule="auto"/>
        <w:jc w:val="center"/>
        <w:rPr>
          <w:rFonts w:hint="eastAsia" w:ascii="宋体" w:hAnsi="宋体" w:eastAsia="宋体" w:cs="宋体"/>
          <w:b/>
          <w:sz w:val="52"/>
          <w:szCs w:val="52"/>
          <w:lang w:eastAsia="zh-CN"/>
        </w:rPr>
      </w:pPr>
      <w:r>
        <w:rPr>
          <w:rFonts w:hint="eastAsia" w:ascii="宋体" w:hAnsi="宋体" w:cs="宋体"/>
          <w:b/>
          <w:sz w:val="52"/>
          <w:szCs w:val="52"/>
          <w:lang w:val="en-US" w:eastAsia="zh-CN"/>
        </w:rPr>
        <w:t>矿石运输服务</w:t>
      </w:r>
      <w:r>
        <w:rPr>
          <w:rFonts w:hint="eastAsia" w:ascii="宋体" w:hAnsi="宋体" w:eastAsia="宋体" w:cs="宋体"/>
          <w:b/>
          <w:sz w:val="52"/>
          <w:szCs w:val="52"/>
          <w:lang w:eastAsia="zh-CN"/>
        </w:rPr>
        <w:t>项目</w:t>
      </w:r>
    </w:p>
    <w:p w14:paraId="1ABE31C4">
      <w:pPr>
        <w:spacing w:line="360" w:lineRule="auto"/>
        <w:jc w:val="center"/>
        <w:rPr>
          <w:rFonts w:hint="eastAsia" w:ascii="宋体" w:hAnsi="宋体" w:eastAsia="宋体" w:cs="宋体"/>
          <w:b/>
          <w:sz w:val="52"/>
          <w:szCs w:val="52"/>
          <w:lang w:eastAsia="zh-CN"/>
        </w:rPr>
      </w:pPr>
    </w:p>
    <w:p w14:paraId="4CD46735">
      <w:pPr>
        <w:spacing w:line="360" w:lineRule="auto"/>
        <w:jc w:val="center"/>
        <w:rPr>
          <w:rFonts w:hint="eastAsia" w:ascii="宋体" w:hAnsi="宋体" w:eastAsia="宋体" w:cs="宋体"/>
          <w:b/>
          <w:sz w:val="52"/>
          <w:szCs w:val="52"/>
          <w:lang w:eastAsia="zh-CN"/>
        </w:rPr>
      </w:pPr>
      <w:r>
        <w:rPr>
          <w:rFonts w:hint="eastAsia" w:ascii="宋体" w:hAnsi="宋体" w:cs="宋体"/>
          <w:b/>
          <w:sz w:val="52"/>
          <w:szCs w:val="52"/>
          <w:lang w:eastAsia="zh-CN"/>
        </w:rPr>
        <w:t>（</w:t>
      </w:r>
      <w:r>
        <w:rPr>
          <w:rFonts w:hint="eastAsia" w:ascii="宋体" w:hAnsi="宋体" w:cs="宋体"/>
          <w:b/>
          <w:sz w:val="52"/>
          <w:szCs w:val="52"/>
          <w:lang w:val="en-US" w:eastAsia="zh-CN"/>
        </w:rPr>
        <w:t>项目编号：</w:t>
      </w:r>
      <w:r>
        <w:rPr>
          <w:rFonts w:hint="eastAsia" w:ascii="宋体" w:hAnsi="宋体" w:cs="宋体"/>
          <w:b/>
          <w:sz w:val="52"/>
          <w:szCs w:val="52"/>
          <w:highlight w:val="none"/>
          <w:lang w:val="en-US" w:eastAsia="zh-CN"/>
        </w:rPr>
        <w:t>BEKK-20260721-001</w:t>
      </w:r>
      <w:r>
        <w:rPr>
          <w:rFonts w:hint="eastAsia" w:ascii="宋体" w:hAnsi="宋体" w:cs="宋体"/>
          <w:b/>
          <w:sz w:val="52"/>
          <w:szCs w:val="52"/>
          <w:lang w:eastAsia="zh-CN"/>
        </w:rPr>
        <w:t>）</w:t>
      </w:r>
    </w:p>
    <w:p w14:paraId="27CC9980">
      <w:pPr>
        <w:spacing w:line="360" w:lineRule="auto"/>
        <w:jc w:val="center"/>
        <w:rPr>
          <w:rFonts w:hint="eastAsia" w:ascii="宋体" w:hAnsi="宋体" w:eastAsia="宋体" w:cs="宋体"/>
          <w:b/>
          <w:sz w:val="52"/>
          <w:szCs w:val="52"/>
          <w:lang w:eastAsia="zh-CN"/>
        </w:rPr>
      </w:pPr>
    </w:p>
    <w:p w14:paraId="3779899E">
      <w:pPr>
        <w:spacing w:line="360" w:lineRule="auto"/>
        <w:jc w:val="center"/>
        <w:rPr>
          <w:rFonts w:hint="eastAsia" w:ascii="宋体" w:hAnsi="宋体" w:eastAsia="宋体" w:cs="宋体"/>
          <w:b/>
          <w:sz w:val="52"/>
          <w:szCs w:val="52"/>
          <w:lang w:eastAsia="zh-CN"/>
        </w:rPr>
      </w:pPr>
    </w:p>
    <w:p w14:paraId="79489F11">
      <w:pPr>
        <w:spacing w:line="360" w:lineRule="auto"/>
        <w:jc w:val="center"/>
        <w:rPr>
          <w:rFonts w:hint="eastAsia" w:ascii="宋体" w:hAnsi="宋体" w:eastAsia="宋体" w:cs="宋体"/>
          <w:b/>
          <w:sz w:val="52"/>
          <w:szCs w:val="52"/>
        </w:rPr>
      </w:pPr>
      <w:r>
        <w:rPr>
          <w:rFonts w:hint="eastAsia" w:ascii="宋体" w:hAnsi="宋体" w:eastAsia="宋体" w:cs="宋体"/>
          <w:b/>
          <w:sz w:val="52"/>
          <w:szCs w:val="52"/>
          <w:lang w:eastAsia="zh-CN"/>
        </w:rPr>
        <w:t>询价</w:t>
      </w:r>
      <w:r>
        <w:rPr>
          <w:rFonts w:hint="eastAsia" w:ascii="宋体" w:hAnsi="宋体" w:cs="宋体"/>
          <w:b/>
          <w:sz w:val="52"/>
          <w:szCs w:val="52"/>
          <w:lang w:eastAsia="zh-CN"/>
        </w:rPr>
        <w:t>公告</w:t>
      </w:r>
    </w:p>
    <w:p w14:paraId="2E56478D"/>
    <w:p w14:paraId="6E4CDF6C"/>
    <w:p w14:paraId="6B0AE63F"/>
    <w:p w14:paraId="0B53FF9D"/>
    <w:p w14:paraId="2B1BCCBE"/>
    <w:p w14:paraId="4E824557"/>
    <w:p w14:paraId="57F7A10D"/>
    <w:p w14:paraId="03F90F36"/>
    <w:p w14:paraId="14581496"/>
    <w:p w14:paraId="465CDACB"/>
    <w:p w14:paraId="3217BC78"/>
    <w:p w14:paraId="2E0301AB"/>
    <w:p w14:paraId="70C41350"/>
    <w:p w14:paraId="7A174CAF"/>
    <w:p w14:paraId="203D8B5A">
      <w:pPr>
        <w:pStyle w:val="2"/>
        <w:keepNext/>
        <w:keepLines/>
        <w:pageBreakBefore w:val="0"/>
        <w:widowControl w:val="0"/>
        <w:kinsoku/>
        <w:wordWrap/>
        <w:overflowPunct/>
        <w:topLinePunct w:val="0"/>
        <w:autoSpaceDE/>
        <w:autoSpaceDN/>
        <w:bidi w:val="0"/>
        <w:adjustRightInd w:val="0"/>
        <w:snapToGrid w:val="0"/>
        <w:spacing w:before="0" w:after="0" w:line="560" w:lineRule="exact"/>
        <w:textAlignment w:val="auto"/>
        <w:rPr>
          <w:rFonts w:hint="eastAsia" w:ascii="黑体" w:eastAsia="黑体"/>
          <w:sz w:val="44"/>
          <w:lang w:eastAsia="zh-CN"/>
        </w:rPr>
      </w:pPr>
      <w:bookmarkStart w:id="4" w:name="_GoBack"/>
      <w:bookmarkEnd w:id="4"/>
      <w:bookmarkStart w:id="0" w:name="_Hlt9666678"/>
      <w:bookmarkEnd w:id="0"/>
      <w:bookmarkStart w:id="1" w:name="_Toc253382676"/>
      <w:bookmarkStart w:id="2" w:name="_Toc332314493"/>
      <w:r>
        <w:rPr>
          <w:rFonts w:hint="eastAsia" w:ascii="黑体" w:eastAsia="黑体"/>
          <w:sz w:val="44"/>
        </w:rPr>
        <w:t>询价</w:t>
      </w:r>
      <w:r>
        <w:rPr>
          <w:rFonts w:hint="eastAsia" w:ascii="黑体" w:eastAsia="黑体"/>
          <w:sz w:val="44"/>
          <w:lang w:eastAsia="zh-CN"/>
        </w:rPr>
        <w:t>公告</w:t>
      </w:r>
    </w:p>
    <w:p w14:paraId="7259B529">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sz w:val="28"/>
          <w:szCs w:val="28"/>
          <w:u w:val="none"/>
          <w:lang w:eastAsia="zh-CN"/>
        </w:rPr>
      </w:pPr>
      <w:r>
        <w:rPr>
          <w:rFonts w:hint="eastAsia" w:ascii="宋体" w:hAnsi="宋体"/>
          <w:sz w:val="24"/>
          <w:szCs w:val="24"/>
          <w:u w:val="none"/>
        </w:rPr>
        <w:t xml:space="preserve"> </w:t>
      </w:r>
      <w:r>
        <w:rPr>
          <w:rFonts w:hint="eastAsia" w:ascii="宋体" w:hAnsi="宋体"/>
          <w:sz w:val="24"/>
          <w:szCs w:val="24"/>
          <w:u w:val="none"/>
          <w:lang w:val="en-US" w:eastAsia="zh-CN"/>
        </w:rPr>
        <w:t xml:space="preserve">   </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u w:val="none"/>
          <w:lang w:eastAsia="zh-CN"/>
        </w:rPr>
        <w:t>山东金岭矿业股份有限</w:t>
      </w:r>
      <w:r>
        <w:rPr>
          <w:rFonts w:hint="eastAsia" w:ascii="宋体" w:hAnsi="宋体" w:eastAsia="宋体" w:cs="宋体"/>
          <w:sz w:val="28"/>
          <w:szCs w:val="28"/>
          <w:highlight w:val="none"/>
          <w:u w:val="none"/>
          <w:lang w:eastAsia="zh-CN"/>
        </w:rPr>
        <w:t>公司</w:t>
      </w:r>
      <w:r>
        <w:rPr>
          <w:rFonts w:hint="eastAsia" w:ascii="宋体" w:hAnsi="宋体" w:cs="宋体"/>
          <w:sz w:val="28"/>
          <w:szCs w:val="28"/>
          <w:highlight w:val="none"/>
          <w:u w:val="none"/>
          <w:lang w:val="en-US" w:eastAsia="zh-CN"/>
        </w:rPr>
        <w:t>矿石运输</w:t>
      </w:r>
      <w:r>
        <w:rPr>
          <w:rFonts w:hint="eastAsia" w:ascii="宋体" w:hAnsi="宋体" w:eastAsia="宋体" w:cs="宋体"/>
          <w:sz w:val="28"/>
          <w:szCs w:val="28"/>
          <w:u w:val="none"/>
        </w:rPr>
        <w:t>已完成相关准备工作</w:t>
      </w:r>
      <w:r>
        <w:rPr>
          <w:rFonts w:hint="eastAsia" w:ascii="宋体" w:hAnsi="宋体" w:eastAsia="宋体" w:cs="宋体"/>
          <w:sz w:val="28"/>
          <w:szCs w:val="28"/>
          <w:u w:val="none"/>
          <w:lang w:eastAsia="zh-CN"/>
        </w:rPr>
        <w:t>，</w:t>
      </w:r>
      <w:r>
        <w:rPr>
          <w:rFonts w:hint="eastAsia" w:ascii="宋体" w:hAnsi="宋体" w:eastAsia="宋体" w:cs="宋体"/>
          <w:sz w:val="28"/>
          <w:szCs w:val="28"/>
          <w:highlight w:val="none"/>
          <w:u w:val="none"/>
          <w:lang w:eastAsia="zh-CN"/>
        </w:rPr>
        <w:t>现</w:t>
      </w:r>
      <w:r>
        <w:rPr>
          <w:rFonts w:hint="eastAsia" w:ascii="宋体" w:hAnsi="宋体" w:cs="宋体"/>
          <w:sz w:val="28"/>
          <w:szCs w:val="28"/>
          <w:highlight w:val="none"/>
          <w:u w:val="none"/>
          <w:lang w:val="en-US" w:eastAsia="zh-CN"/>
        </w:rPr>
        <w:t>邀请</w:t>
      </w:r>
      <w:r>
        <w:rPr>
          <w:rFonts w:hint="eastAsia" w:ascii="宋体" w:hAnsi="宋体" w:eastAsia="宋体" w:cs="宋体"/>
          <w:b w:val="0"/>
          <w:bCs/>
          <w:kern w:val="2"/>
          <w:sz w:val="28"/>
          <w:szCs w:val="28"/>
          <w:lang w:val="en-US" w:eastAsia="zh-CN" w:bidi="ar-SA"/>
        </w:rPr>
        <w:t>2025年度货物汽车运输服务入围供应商</w:t>
      </w:r>
      <w:r>
        <w:rPr>
          <w:rFonts w:hint="eastAsia" w:ascii="宋体" w:hAnsi="宋体" w:cs="宋体"/>
          <w:sz w:val="28"/>
          <w:szCs w:val="28"/>
          <w:highlight w:val="none"/>
          <w:u w:val="none"/>
          <w:lang w:val="en-US" w:eastAsia="zh-CN"/>
        </w:rPr>
        <w:t>参与</w:t>
      </w:r>
      <w:r>
        <w:rPr>
          <w:rFonts w:hint="eastAsia" w:ascii="宋体" w:hAnsi="宋体" w:eastAsia="宋体" w:cs="宋体"/>
          <w:sz w:val="28"/>
          <w:szCs w:val="28"/>
          <w:highlight w:val="none"/>
          <w:u w:val="none"/>
          <w:lang w:eastAsia="zh-CN"/>
        </w:rPr>
        <w:t>本项目</w:t>
      </w:r>
      <w:r>
        <w:rPr>
          <w:rFonts w:hint="eastAsia" w:ascii="宋体" w:hAnsi="宋体" w:cs="宋体"/>
          <w:sz w:val="28"/>
          <w:szCs w:val="28"/>
          <w:highlight w:val="none"/>
          <w:u w:val="none"/>
          <w:lang w:val="en-US" w:eastAsia="zh-CN"/>
        </w:rPr>
        <w:t>的</w:t>
      </w:r>
      <w:r>
        <w:rPr>
          <w:rFonts w:hint="eastAsia" w:ascii="宋体" w:hAnsi="宋体" w:eastAsia="宋体" w:cs="宋体"/>
          <w:sz w:val="28"/>
          <w:szCs w:val="28"/>
          <w:highlight w:val="none"/>
          <w:u w:val="none"/>
          <w:lang w:val="en-US" w:eastAsia="zh-CN"/>
        </w:rPr>
        <w:t>询价</w:t>
      </w:r>
      <w:r>
        <w:rPr>
          <w:rFonts w:hint="eastAsia" w:ascii="宋体" w:hAnsi="宋体" w:eastAsia="宋体" w:cs="宋体"/>
          <w:sz w:val="28"/>
          <w:szCs w:val="28"/>
          <w:highlight w:val="none"/>
          <w:u w:val="none"/>
        </w:rPr>
        <w:t>采</w:t>
      </w:r>
      <w:r>
        <w:rPr>
          <w:rFonts w:hint="eastAsia" w:ascii="宋体" w:hAnsi="宋体" w:eastAsia="宋体" w:cs="宋体"/>
          <w:sz w:val="28"/>
          <w:szCs w:val="28"/>
          <w:u w:val="none"/>
        </w:rPr>
        <w:t>购。</w:t>
      </w:r>
    </w:p>
    <w:p w14:paraId="3F5CEE19">
      <w:pPr>
        <w:pageBreakBefore w:val="0"/>
        <w:widowControl w:val="0"/>
        <w:numPr>
          <w:ilvl w:val="0"/>
          <w:numId w:val="0"/>
        </w:numPr>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val="0"/>
          <w:kern w:val="2"/>
          <w:sz w:val="28"/>
          <w:szCs w:val="28"/>
          <w:lang w:val="en-US" w:eastAsia="zh-CN" w:bidi="ar-SA"/>
        </w:rPr>
      </w:pPr>
      <w:r>
        <w:rPr>
          <w:rFonts w:hint="eastAsia" w:ascii="宋体" w:hAnsi="宋体" w:eastAsia="宋体" w:cs="宋体"/>
          <w:b/>
          <w:bCs w:val="0"/>
          <w:kern w:val="2"/>
          <w:sz w:val="28"/>
          <w:szCs w:val="28"/>
          <w:lang w:val="en-US" w:eastAsia="zh-CN" w:bidi="ar-SA"/>
        </w:rPr>
        <w:t>一、供应商资格要求：</w:t>
      </w:r>
    </w:p>
    <w:p w14:paraId="30F46D37">
      <w:pPr>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 w:val="0"/>
          <w:bCs/>
          <w:kern w:val="2"/>
          <w:sz w:val="28"/>
          <w:szCs w:val="28"/>
          <w:lang w:val="en-US" w:eastAsia="zh-CN" w:bidi="ar-SA"/>
        </w:rPr>
      </w:pPr>
      <w:r>
        <w:rPr>
          <w:rFonts w:hint="eastAsia" w:ascii="宋体" w:hAnsi="宋体" w:eastAsia="宋体" w:cs="宋体"/>
          <w:b w:val="0"/>
          <w:bCs/>
          <w:kern w:val="2"/>
          <w:sz w:val="28"/>
          <w:szCs w:val="28"/>
          <w:lang w:val="en-US" w:eastAsia="zh-CN" w:bidi="ar-SA"/>
        </w:rPr>
        <w:t>1  经采购人2025年度货物汽车运输服务入围</w:t>
      </w:r>
      <w:r>
        <w:rPr>
          <w:rFonts w:hint="eastAsia" w:ascii="宋体" w:hAnsi="宋体" w:cs="宋体"/>
          <w:b w:val="0"/>
          <w:bCs/>
          <w:kern w:val="2"/>
          <w:sz w:val="28"/>
          <w:szCs w:val="28"/>
          <w:lang w:val="en-US" w:eastAsia="zh-CN" w:bidi="ar-SA"/>
        </w:rPr>
        <w:t>的</w:t>
      </w:r>
      <w:r>
        <w:rPr>
          <w:rFonts w:hint="eastAsia" w:ascii="宋体" w:hAnsi="宋体" w:eastAsia="宋体" w:cs="宋体"/>
          <w:b w:val="0"/>
          <w:bCs/>
          <w:kern w:val="2"/>
          <w:sz w:val="28"/>
          <w:szCs w:val="28"/>
          <w:lang w:val="en-US" w:eastAsia="zh-CN" w:bidi="ar-SA"/>
        </w:rPr>
        <w:t>供应商可以参与</w:t>
      </w:r>
      <w:r>
        <w:rPr>
          <w:rFonts w:hint="eastAsia" w:ascii="宋体" w:hAnsi="宋体" w:cs="宋体"/>
          <w:b w:val="0"/>
          <w:bCs/>
          <w:kern w:val="2"/>
          <w:sz w:val="28"/>
          <w:szCs w:val="28"/>
          <w:lang w:val="en-US" w:eastAsia="zh-CN" w:bidi="ar-SA"/>
        </w:rPr>
        <w:t>本项目</w:t>
      </w:r>
      <w:r>
        <w:rPr>
          <w:rFonts w:hint="eastAsia" w:ascii="宋体" w:hAnsi="宋体" w:eastAsia="宋体" w:cs="宋体"/>
          <w:b w:val="0"/>
          <w:bCs/>
          <w:kern w:val="2"/>
          <w:sz w:val="28"/>
          <w:szCs w:val="28"/>
          <w:lang w:val="en-US" w:eastAsia="zh-CN" w:bidi="ar-SA"/>
        </w:rPr>
        <w:t>。</w:t>
      </w:r>
    </w:p>
    <w:p w14:paraId="1AAE9A91">
      <w:pPr>
        <w:pageBreakBefore w:val="0"/>
        <w:widowControl w:val="0"/>
        <w:numPr>
          <w:ilvl w:val="0"/>
          <w:numId w:val="0"/>
        </w:numPr>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val="0"/>
          <w:kern w:val="2"/>
          <w:sz w:val="28"/>
          <w:szCs w:val="28"/>
          <w:lang w:val="en-US" w:eastAsia="zh-CN" w:bidi="ar-SA"/>
        </w:rPr>
      </w:pPr>
      <w:r>
        <w:rPr>
          <w:rFonts w:hint="eastAsia" w:ascii="宋体" w:hAnsi="宋体" w:eastAsia="宋体" w:cs="宋体"/>
          <w:b/>
          <w:bCs w:val="0"/>
          <w:kern w:val="2"/>
          <w:sz w:val="28"/>
          <w:szCs w:val="28"/>
          <w:lang w:val="en-US" w:eastAsia="zh-CN" w:bidi="ar-SA"/>
        </w:rPr>
        <w:t>注：不符合上述资格要求的供应商不具备本项目</w:t>
      </w:r>
      <w:r>
        <w:rPr>
          <w:rFonts w:hint="eastAsia" w:ascii="宋体" w:hAnsi="宋体" w:cs="宋体"/>
          <w:b/>
          <w:bCs w:val="0"/>
          <w:kern w:val="2"/>
          <w:sz w:val="28"/>
          <w:szCs w:val="28"/>
          <w:lang w:val="en-US" w:eastAsia="zh-CN" w:bidi="ar-SA"/>
        </w:rPr>
        <w:t>参与</w:t>
      </w:r>
      <w:r>
        <w:rPr>
          <w:rFonts w:hint="eastAsia" w:ascii="宋体" w:hAnsi="宋体" w:eastAsia="宋体" w:cs="宋体"/>
          <w:b/>
          <w:bCs w:val="0"/>
          <w:kern w:val="2"/>
          <w:sz w:val="28"/>
          <w:szCs w:val="28"/>
          <w:lang w:val="en-US" w:eastAsia="zh-CN" w:bidi="ar-SA"/>
        </w:rPr>
        <w:t>资格。</w:t>
      </w:r>
    </w:p>
    <w:p w14:paraId="66966926">
      <w:pPr>
        <w:pageBreakBefore w:val="0"/>
        <w:widowControl w:val="0"/>
        <w:numPr>
          <w:ilvl w:val="0"/>
          <w:numId w:val="0"/>
        </w:numPr>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val="0"/>
          <w:kern w:val="2"/>
          <w:sz w:val="28"/>
          <w:szCs w:val="28"/>
          <w:lang w:val="en-US" w:eastAsia="zh-CN" w:bidi="ar-SA"/>
        </w:rPr>
      </w:pPr>
      <w:r>
        <w:rPr>
          <w:rFonts w:hint="eastAsia" w:ascii="宋体" w:hAnsi="宋体" w:eastAsia="宋体" w:cs="宋体"/>
          <w:b/>
          <w:bCs w:val="0"/>
          <w:kern w:val="2"/>
          <w:sz w:val="28"/>
          <w:szCs w:val="28"/>
          <w:lang w:val="en-US" w:eastAsia="zh-CN" w:bidi="ar-SA"/>
        </w:rPr>
        <w:t>二、供应商须知：</w:t>
      </w:r>
    </w:p>
    <w:p w14:paraId="21296526">
      <w:pPr>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eastAsia="zh-CN"/>
        </w:rPr>
      </w:pPr>
      <w:r>
        <w:rPr>
          <w:rFonts w:hint="eastAsia" w:ascii="宋体" w:hAnsi="宋体" w:eastAsia="宋体" w:cs="宋体"/>
          <w:b w:val="0"/>
          <w:bCs/>
          <w:color w:val="000000"/>
          <w:kern w:val="2"/>
          <w:sz w:val="28"/>
          <w:szCs w:val="28"/>
          <w:lang w:val="en-US" w:eastAsia="zh-CN" w:bidi="ar-SA"/>
        </w:rPr>
        <w:t>1.供应商</w:t>
      </w:r>
      <w:r>
        <w:rPr>
          <w:rFonts w:hint="eastAsia" w:ascii="宋体" w:hAnsi="宋体" w:eastAsia="宋体" w:cs="宋体"/>
          <w:bCs/>
          <w:kern w:val="2"/>
          <w:sz w:val="28"/>
          <w:szCs w:val="28"/>
          <w:lang w:val="en-US" w:eastAsia="zh-CN" w:bidi="ar-SA"/>
        </w:rPr>
        <w:t>平台报价须与其上传的</w:t>
      </w:r>
      <w:r>
        <w:rPr>
          <w:rFonts w:hint="eastAsia" w:ascii="宋体" w:hAnsi="宋体" w:eastAsia="宋体" w:cs="宋体"/>
          <w:sz w:val="28"/>
          <w:szCs w:val="28"/>
          <w:u w:val="none"/>
          <w:lang w:eastAsia="zh-CN"/>
        </w:rPr>
        <w:t>盖章扫描版报价单</w:t>
      </w:r>
      <w:r>
        <w:rPr>
          <w:rFonts w:hint="eastAsia" w:ascii="宋体" w:hAnsi="宋体" w:eastAsia="宋体" w:cs="宋体"/>
          <w:sz w:val="28"/>
          <w:szCs w:val="28"/>
          <w:u w:val="none"/>
          <w:lang w:val="en-US" w:eastAsia="zh-CN"/>
        </w:rPr>
        <w:t>价格</w:t>
      </w:r>
      <w:r>
        <w:rPr>
          <w:rFonts w:hint="eastAsia" w:ascii="宋体" w:hAnsi="宋体" w:eastAsia="宋体" w:cs="宋体"/>
          <w:sz w:val="28"/>
          <w:szCs w:val="28"/>
          <w:u w:val="none"/>
          <w:lang w:eastAsia="zh-CN"/>
        </w:rPr>
        <w:t>保持一致。</w:t>
      </w:r>
    </w:p>
    <w:p w14:paraId="73266B95">
      <w:pPr>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2.供应商成交：以平台报价为评审价格，</w:t>
      </w:r>
      <w:r>
        <w:rPr>
          <w:rFonts w:hint="eastAsia" w:ascii="宋体" w:hAnsi="宋体" w:eastAsia="宋体" w:cs="宋体"/>
          <w:sz w:val="28"/>
          <w:szCs w:val="28"/>
        </w:rPr>
        <w:t>价格最低，则推荐其为成交供应商</w:t>
      </w:r>
      <w:r>
        <w:rPr>
          <w:rFonts w:hint="eastAsia" w:ascii="宋体" w:hAnsi="宋体" w:eastAsia="宋体" w:cs="宋体"/>
          <w:sz w:val="28"/>
          <w:szCs w:val="28"/>
          <w:u w:val="none"/>
          <w:lang w:val="en-US" w:eastAsia="zh-CN"/>
        </w:rPr>
        <w:t>（若供应商税率不同，评审价格统一换算成税前价格）。</w:t>
      </w:r>
    </w:p>
    <w:p w14:paraId="44562603">
      <w:pPr>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3.若响应供应商投标IP相同，相同IP地址的供应商均被认定为存在陪标、串标、围标行为。</w:t>
      </w:r>
    </w:p>
    <w:p w14:paraId="4FE5D6DC">
      <w:pPr>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Cs/>
          <w:kern w:val="2"/>
          <w:sz w:val="28"/>
          <w:szCs w:val="28"/>
          <w:lang w:val="en-US" w:eastAsia="zh-CN" w:bidi="ar-SA"/>
        </w:rPr>
      </w:pPr>
      <w:r>
        <w:rPr>
          <w:rFonts w:hint="eastAsia" w:ascii="宋体" w:hAnsi="宋体" w:eastAsia="宋体" w:cs="宋体"/>
          <w:sz w:val="28"/>
          <w:szCs w:val="28"/>
          <w:u w:val="none"/>
          <w:lang w:val="en-US" w:eastAsia="zh-CN"/>
        </w:rPr>
        <w:t>4.</w:t>
      </w:r>
      <w:r>
        <w:rPr>
          <w:rFonts w:hint="eastAsia" w:ascii="宋体" w:hAnsi="宋体" w:cs="宋体"/>
          <w:b/>
          <w:bCs w:val="0"/>
          <w:color w:val="FF0000"/>
          <w:kern w:val="2"/>
          <w:sz w:val="28"/>
          <w:szCs w:val="28"/>
          <w:lang w:val="en-US" w:eastAsia="zh-CN" w:bidi="ar-SA"/>
        </w:rPr>
        <w:t>供应商</w:t>
      </w:r>
      <w:r>
        <w:rPr>
          <w:rFonts w:hint="eastAsia" w:ascii="宋体" w:hAnsi="宋体" w:eastAsia="宋体" w:cs="宋体"/>
          <w:bCs/>
          <w:kern w:val="2"/>
          <w:sz w:val="28"/>
          <w:szCs w:val="28"/>
          <w:lang w:val="en-US" w:eastAsia="zh-CN" w:bidi="ar-SA"/>
        </w:rPr>
        <w:t>成交后必须按照</w:t>
      </w:r>
      <w:r>
        <w:rPr>
          <w:rFonts w:hint="eastAsia" w:ascii="宋体" w:hAnsi="宋体" w:cs="宋体"/>
          <w:bCs/>
          <w:kern w:val="2"/>
          <w:sz w:val="28"/>
          <w:szCs w:val="28"/>
          <w:lang w:val="en-US" w:eastAsia="zh-CN" w:bidi="ar-SA"/>
        </w:rPr>
        <w:t>采购文件要求提供运输服务</w:t>
      </w:r>
      <w:r>
        <w:rPr>
          <w:rFonts w:hint="eastAsia" w:ascii="宋体" w:hAnsi="宋体" w:eastAsia="宋体" w:cs="宋体"/>
          <w:bCs/>
          <w:kern w:val="2"/>
          <w:sz w:val="28"/>
          <w:szCs w:val="28"/>
          <w:lang w:val="en-US" w:eastAsia="zh-CN" w:bidi="ar-SA"/>
        </w:rPr>
        <w:t>。</w:t>
      </w:r>
    </w:p>
    <w:p w14:paraId="2D703DD7">
      <w:pPr>
        <w:pageBreakBefore w:val="0"/>
        <w:numPr>
          <w:ilvl w:val="0"/>
          <w:numId w:val="0"/>
        </w:numPr>
        <w:kinsoku/>
        <w:wordWrap/>
        <w:overflowPunct/>
        <w:topLinePunct w:val="0"/>
        <w:autoSpaceDE/>
        <w:autoSpaceDN/>
        <w:bidi w:val="0"/>
        <w:snapToGrid w:val="0"/>
        <w:spacing w:line="560" w:lineRule="exact"/>
        <w:ind w:leftChars="0" w:firstLine="560" w:firstLineChars="200"/>
        <w:rPr>
          <w:rFonts w:hint="eastAsia" w:ascii="宋体" w:hAnsi="宋体" w:eastAsia="宋体" w:cs="宋体"/>
          <w:sz w:val="28"/>
          <w:szCs w:val="28"/>
        </w:rPr>
      </w:pPr>
      <w:r>
        <w:rPr>
          <w:rFonts w:hint="eastAsia" w:ascii="宋体" w:hAnsi="宋体" w:eastAsia="宋体" w:cs="宋体"/>
          <w:sz w:val="28"/>
          <w:szCs w:val="28"/>
          <w:u w:val="none"/>
          <w:lang w:val="en-US" w:eastAsia="zh-CN"/>
        </w:rPr>
        <w:t>注：</w:t>
      </w:r>
      <w:r>
        <w:rPr>
          <w:rFonts w:hint="eastAsia" w:ascii="宋体" w:hAnsi="宋体" w:eastAsia="宋体" w:cs="宋体"/>
          <w:sz w:val="28"/>
          <w:szCs w:val="28"/>
          <w:lang w:eastAsia="zh-CN"/>
        </w:rPr>
        <w:t>本项目中所涉及的计价货币一律为</w:t>
      </w:r>
      <w:r>
        <w:rPr>
          <w:rFonts w:hint="eastAsia" w:ascii="宋体" w:hAnsi="宋体" w:eastAsia="宋体" w:cs="宋体"/>
          <w:sz w:val="28"/>
          <w:szCs w:val="28"/>
        </w:rPr>
        <w:t>人民币。</w:t>
      </w:r>
    </w:p>
    <w:p w14:paraId="30E622E8">
      <w:pPr>
        <w:pageBreakBefore w:val="0"/>
        <w:widowControl w:val="0"/>
        <w:numPr>
          <w:ilvl w:val="0"/>
          <w:numId w:val="0"/>
        </w:numPr>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val="0"/>
          <w:kern w:val="2"/>
          <w:sz w:val="28"/>
          <w:szCs w:val="28"/>
          <w:lang w:val="en-US" w:eastAsia="zh-CN" w:bidi="ar-SA"/>
        </w:rPr>
      </w:pPr>
      <w:r>
        <w:rPr>
          <w:rFonts w:hint="eastAsia" w:ascii="宋体" w:hAnsi="宋体" w:eastAsia="宋体" w:cs="宋体"/>
          <w:b/>
          <w:bCs w:val="0"/>
          <w:kern w:val="2"/>
          <w:sz w:val="28"/>
          <w:szCs w:val="28"/>
          <w:lang w:val="en-US" w:eastAsia="zh-CN" w:bidi="ar-SA"/>
        </w:rPr>
        <w:t>三、</w:t>
      </w:r>
      <w:r>
        <w:rPr>
          <w:rFonts w:hint="eastAsia" w:ascii="宋体" w:hAnsi="宋体" w:eastAsia="宋体" w:cs="宋体"/>
          <w:b/>
          <w:bCs/>
          <w:sz w:val="28"/>
          <w:szCs w:val="28"/>
          <w:lang w:val="en-US" w:eastAsia="zh-CN"/>
        </w:rPr>
        <w:t>处罚情形</w:t>
      </w:r>
      <w:r>
        <w:rPr>
          <w:rFonts w:hint="eastAsia" w:ascii="宋体" w:hAnsi="宋体" w:eastAsia="宋体" w:cs="宋体"/>
          <w:b/>
          <w:bCs w:val="0"/>
          <w:kern w:val="2"/>
          <w:sz w:val="28"/>
          <w:szCs w:val="28"/>
          <w:lang w:val="en-US" w:eastAsia="zh-CN" w:bidi="ar-SA"/>
        </w:rPr>
        <w:t>：</w:t>
      </w:r>
    </w:p>
    <w:p w14:paraId="73D2B751">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sz w:val="28"/>
          <w:szCs w:val="28"/>
          <w:u w:val="none"/>
          <w:lang w:eastAsia="zh-CN"/>
        </w:rPr>
      </w:pPr>
      <w:r>
        <w:rPr>
          <w:rFonts w:hint="eastAsia" w:ascii="宋体" w:hAnsi="宋体" w:eastAsia="宋体" w:cs="宋体"/>
          <w:b/>
          <w:bCs w:val="0"/>
          <w:color w:val="auto"/>
          <w:kern w:val="2"/>
          <w:sz w:val="28"/>
          <w:szCs w:val="28"/>
          <w:lang w:val="en-US" w:eastAsia="zh-CN" w:bidi="ar-SA"/>
        </w:rPr>
        <w:t>1.</w:t>
      </w:r>
      <w:r>
        <w:rPr>
          <w:rFonts w:hint="eastAsia" w:ascii="宋体" w:hAnsi="宋体" w:eastAsia="宋体" w:cs="宋体"/>
          <w:bCs/>
          <w:color w:val="auto"/>
          <w:kern w:val="2"/>
          <w:sz w:val="28"/>
          <w:szCs w:val="28"/>
          <w:lang w:val="en-US" w:eastAsia="zh-CN" w:bidi="ar-SA"/>
        </w:rPr>
        <w:t>供应商平台报</w:t>
      </w:r>
      <w:r>
        <w:rPr>
          <w:rFonts w:hint="eastAsia" w:ascii="宋体" w:hAnsi="宋体" w:eastAsia="宋体" w:cs="宋体"/>
          <w:bCs/>
          <w:kern w:val="2"/>
          <w:sz w:val="28"/>
          <w:szCs w:val="28"/>
          <w:lang w:val="en-US" w:eastAsia="zh-CN" w:bidi="ar-SA"/>
        </w:rPr>
        <w:t>价与平台上传的</w:t>
      </w:r>
      <w:r>
        <w:rPr>
          <w:rFonts w:hint="eastAsia" w:ascii="宋体" w:hAnsi="宋体" w:eastAsia="宋体" w:cs="宋体"/>
          <w:sz w:val="28"/>
          <w:szCs w:val="28"/>
          <w:u w:val="none"/>
          <w:lang w:eastAsia="zh-CN"/>
        </w:rPr>
        <w:t>盖章扫描</w:t>
      </w:r>
      <w:r>
        <w:rPr>
          <w:rFonts w:hint="eastAsia" w:ascii="宋体" w:hAnsi="宋体" w:eastAsia="宋体" w:cs="宋体"/>
          <w:sz w:val="28"/>
          <w:szCs w:val="28"/>
          <w:u w:val="none"/>
          <w:lang w:val="en-US" w:eastAsia="zh-CN"/>
        </w:rPr>
        <w:t>版</w:t>
      </w:r>
      <w:r>
        <w:rPr>
          <w:rFonts w:hint="eastAsia" w:ascii="宋体" w:hAnsi="宋体" w:eastAsia="宋体" w:cs="宋体"/>
          <w:sz w:val="28"/>
          <w:szCs w:val="28"/>
          <w:u w:val="none"/>
          <w:lang w:eastAsia="zh-CN"/>
        </w:rPr>
        <w:t>报价单</w:t>
      </w:r>
      <w:r>
        <w:rPr>
          <w:rFonts w:hint="eastAsia" w:ascii="宋体" w:hAnsi="宋体" w:eastAsia="宋体" w:cs="宋体"/>
          <w:sz w:val="28"/>
          <w:szCs w:val="28"/>
          <w:u w:val="none"/>
          <w:lang w:val="en-US" w:eastAsia="zh-CN"/>
        </w:rPr>
        <w:t>价格</w:t>
      </w:r>
      <w:r>
        <w:rPr>
          <w:rFonts w:hint="eastAsia" w:ascii="宋体" w:hAnsi="宋体" w:eastAsia="宋体" w:cs="宋体"/>
          <w:sz w:val="28"/>
          <w:szCs w:val="28"/>
          <w:u w:val="none"/>
          <w:lang w:eastAsia="zh-CN"/>
        </w:rPr>
        <w:t>不一致，</w:t>
      </w:r>
      <w:r>
        <w:rPr>
          <w:rFonts w:hint="eastAsia" w:ascii="宋体" w:hAnsi="宋体" w:eastAsia="宋体" w:cs="宋体"/>
          <w:sz w:val="28"/>
          <w:szCs w:val="28"/>
          <w:u w:val="none"/>
          <w:lang w:val="en-US" w:eastAsia="zh-CN"/>
        </w:rPr>
        <w:t>利用低价骗取中标资格的，</w:t>
      </w:r>
      <w:r>
        <w:rPr>
          <w:rFonts w:hint="eastAsia" w:ascii="宋体" w:hAnsi="宋体" w:eastAsia="宋体" w:cs="宋体"/>
          <w:sz w:val="28"/>
          <w:szCs w:val="28"/>
          <w:highlight w:val="none"/>
          <w:lang w:val="en-US" w:eastAsia="zh-CN"/>
        </w:rPr>
        <w:t>采购人通过阳光购销平台将其列入供应商黑名单</w:t>
      </w:r>
      <w:r>
        <w:rPr>
          <w:rFonts w:hint="eastAsia" w:ascii="宋体" w:hAnsi="宋体" w:eastAsia="宋体" w:cs="宋体"/>
          <w:sz w:val="28"/>
          <w:szCs w:val="28"/>
          <w:u w:val="none"/>
          <w:lang w:val="en-US" w:eastAsia="zh-CN"/>
        </w:rPr>
        <w:t>。</w:t>
      </w:r>
    </w:p>
    <w:p w14:paraId="2B2208B5">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val="en-US" w:eastAsia="zh-CN"/>
        </w:rPr>
      </w:pPr>
      <w:r>
        <w:rPr>
          <w:rFonts w:hint="eastAsia" w:ascii="宋体" w:hAnsi="宋体" w:cs="宋体"/>
          <w:sz w:val="28"/>
          <w:szCs w:val="28"/>
          <w:u w:val="none"/>
          <w:lang w:val="en-US" w:eastAsia="zh-CN"/>
        </w:rPr>
        <w:t>2</w:t>
      </w:r>
      <w:r>
        <w:rPr>
          <w:rFonts w:hint="eastAsia" w:ascii="宋体" w:hAnsi="宋体" w:eastAsia="宋体" w:cs="宋体"/>
          <w:sz w:val="28"/>
          <w:szCs w:val="28"/>
          <w:u w:val="none"/>
          <w:lang w:val="en-US" w:eastAsia="zh-CN"/>
        </w:rPr>
        <w:t>.</w:t>
      </w:r>
      <w:r>
        <w:rPr>
          <w:rFonts w:hint="eastAsia" w:ascii="宋体" w:hAnsi="宋体" w:eastAsia="宋体" w:cs="宋体"/>
          <w:sz w:val="28"/>
          <w:szCs w:val="28"/>
          <w:highlight w:val="none"/>
          <w:lang w:val="en-US" w:eastAsia="zh-CN"/>
        </w:rPr>
        <w:t>供应商中标后无正当理由弃标的，采购人通过阳光购销平台将其列入供应商黑名单</w:t>
      </w:r>
      <w:r>
        <w:rPr>
          <w:rFonts w:hint="eastAsia" w:ascii="宋体" w:hAnsi="宋体" w:eastAsia="宋体" w:cs="宋体"/>
          <w:sz w:val="28"/>
          <w:szCs w:val="28"/>
          <w:u w:val="none"/>
          <w:lang w:val="en-US" w:eastAsia="zh-CN"/>
        </w:rPr>
        <w:t>。</w:t>
      </w:r>
    </w:p>
    <w:p w14:paraId="09F39FA4">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sz w:val="28"/>
          <w:szCs w:val="28"/>
          <w:u w:val="none"/>
          <w:lang w:val="en-US" w:eastAsia="zh-CN"/>
        </w:rPr>
      </w:pPr>
      <w:r>
        <w:rPr>
          <w:rFonts w:hint="eastAsia" w:ascii="宋体" w:hAnsi="宋体" w:cs="宋体"/>
          <w:sz w:val="28"/>
          <w:szCs w:val="28"/>
          <w:u w:val="none"/>
          <w:lang w:val="en-US" w:eastAsia="zh-CN"/>
        </w:rPr>
        <w:t>3</w:t>
      </w:r>
      <w:r>
        <w:rPr>
          <w:rFonts w:hint="eastAsia" w:ascii="宋体" w:hAnsi="宋体" w:eastAsia="宋体" w:cs="宋体"/>
          <w:sz w:val="28"/>
          <w:szCs w:val="28"/>
          <w:u w:val="none"/>
          <w:lang w:val="en-US" w:eastAsia="zh-CN"/>
        </w:rPr>
        <w:t>.响应供应商存在陪标、串标、围标行为的，</w:t>
      </w:r>
      <w:r>
        <w:rPr>
          <w:rFonts w:hint="eastAsia" w:ascii="宋体" w:hAnsi="宋体" w:eastAsia="宋体" w:cs="宋体"/>
          <w:sz w:val="28"/>
          <w:szCs w:val="28"/>
          <w:highlight w:val="none"/>
          <w:lang w:val="en-US" w:eastAsia="zh-CN"/>
        </w:rPr>
        <w:t>采购人通过阳光购销平台将其列入供应商黑名单</w:t>
      </w:r>
      <w:r>
        <w:rPr>
          <w:rFonts w:hint="eastAsia" w:ascii="宋体" w:hAnsi="宋体" w:eastAsia="宋体" w:cs="宋体"/>
          <w:sz w:val="28"/>
          <w:szCs w:val="28"/>
          <w:u w:val="none"/>
          <w:lang w:val="en-US" w:eastAsia="zh-CN"/>
        </w:rPr>
        <w:t>。</w:t>
      </w:r>
    </w:p>
    <w:p w14:paraId="448E8966">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val="0"/>
          <w:kern w:val="2"/>
          <w:sz w:val="28"/>
          <w:szCs w:val="28"/>
          <w:lang w:val="en-US" w:eastAsia="zh-CN" w:bidi="ar-SA"/>
        </w:rPr>
      </w:pPr>
      <w:r>
        <w:rPr>
          <w:rFonts w:hint="eastAsia" w:ascii="宋体" w:hAnsi="宋体" w:eastAsia="宋体" w:cs="宋体"/>
          <w:b/>
          <w:bCs w:val="0"/>
          <w:kern w:val="2"/>
          <w:sz w:val="28"/>
          <w:szCs w:val="28"/>
          <w:lang w:val="en-US" w:eastAsia="zh-CN" w:bidi="ar-SA"/>
        </w:rPr>
        <w:t>四、采购文件的获取</w:t>
      </w:r>
    </w:p>
    <w:p w14:paraId="76454AD9">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1.请响应供应商于</w:t>
      </w:r>
      <w:r>
        <w:rPr>
          <w:rFonts w:hint="eastAsia" w:ascii="宋体" w:hAnsi="宋体" w:eastAsia="宋体" w:cs="宋体"/>
          <w:b/>
          <w:bCs/>
          <w:sz w:val="28"/>
          <w:szCs w:val="28"/>
          <w:highlight w:val="none"/>
          <w:u w:val="none"/>
          <w:lang w:val="en-US" w:eastAsia="zh-CN"/>
        </w:rPr>
        <w:t>2026年</w:t>
      </w:r>
      <w:r>
        <w:rPr>
          <w:rFonts w:hint="eastAsia" w:ascii="宋体" w:hAnsi="宋体" w:cs="宋体"/>
          <w:b/>
          <w:bCs/>
          <w:sz w:val="28"/>
          <w:szCs w:val="28"/>
          <w:highlight w:val="none"/>
          <w:u w:val="none"/>
          <w:lang w:val="en-US" w:eastAsia="zh-CN"/>
        </w:rPr>
        <w:t>7</w:t>
      </w:r>
      <w:r>
        <w:rPr>
          <w:rFonts w:hint="eastAsia" w:ascii="宋体" w:hAnsi="宋体" w:eastAsia="宋体" w:cs="宋体"/>
          <w:b/>
          <w:bCs/>
          <w:sz w:val="28"/>
          <w:szCs w:val="28"/>
          <w:highlight w:val="none"/>
          <w:u w:val="none"/>
          <w:lang w:val="en-US" w:eastAsia="zh-CN"/>
        </w:rPr>
        <w:t>月2</w:t>
      </w:r>
      <w:r>
        <w:rPr>
          <w:rFonts w:hint="eastAsia" w:ascii="宋体" w:hAnsi="宋体" w:cs="宋体"/>
          <w:b/>
          <w:bCs/>
          <w:sz w:val="28"/>
          <w:szCs w:val="28"/>
          <w:highlight w:val="none"/>
          <w:u w:val="none"/>
          <w:lang w:val="en-US" w:eastAsia="zh-CN"/>
        </w:rPr>
        <w:t>1</w:t>
      </w:r>
      <w:r>
        <w:rPr>
          <w:rFonts w:hint="eastAsia" w:ascii="宋体" w:hAnsi="宋体" w:eastAsia="宋体" w:cs="宋体"/>
          <w:b/>
          <w:bCs/>
          <w:sz w:val="28"/>
          <w:szCs w:val="28"/>
          <w:highlight w:val="none"/>
          <w:u w:val="none"/>
          <w:lang w:val="en-US" w:eastAsia="zh-CN"/>
        </w:rPr>
        <w:t>日起至2026年</w:t>
      </w:r>
      <w:r>
        <w:rPr>
          <w:rFonts w:hint="eastAsia" w:ascii="宋体" w:hAnsi="宋体" w:cs="宋体"/>
          <w:b/>
          <w:bCs/>
          <w:sz w:val="28"/>
          <w:szCs w:val="28"/>
          <w:highlight w:val="none"/>
          <w:u w:val="none"/>
          <w:lang w:val="en-US" w:eastAsia="zh-CN"/>
        </w:rPr>
        <w:t>7</w:t>
      </w:r>
      <w:r>
        <w:rPr>
          <w:rFonts w:hint="eastAsia" w:ascii="宋体" w:hAnsi="宋体" w:eastAsia="宋体" w:cs="宋体"/>
          <w:b/>
          <w:bCs/>
          <w:sz w:val="28"/>
          <w:szCs w:val="28"/>
          <w:highlight w:val="none"/>
          <w:u w:val="none"/>
          <w:lang w:val="en-US" w:eastAsia="zh-CN"/>
        </w:rPr>
        <w:t>月</w:t>
      </w:r>
      <w:r>
        <w:rPr>
          <w:rFonts w:hint="eastAsia" w:ascii="宋体" w:hAnsi="宋体" w:cs="宋体"/>
          <w:b/>
          <w:bCs/>
          <w:sz w:val="28"/>
          <w:szCs w:val="28"/>
          <w:highlight w:val="none"/>
          <w:u w:val="none"/>
          <w:lang w:val="en-US" w:eastAsia="zh-CN"/>
        </w:rPr>
        <w:t>21</w:t>
      </w:r>
      <w:r>
        <w:rPr>
          <w:rFonts w:hint="eastAsia" w:ascii="宋体" w:hAnsi="宋体" w:eastAsia="宋体" w:cs="宋体"/>
          <w:b/>
          <w:bCs/>
          <w:sz w:val="28"/>
          <w:szCs w:val="28"/>
          <w:highlight w:val="none"/>
          <w:u w:val="none"/>
          <w:lang w:val="en-US" w:eastAsia="zh-CN"/>
        </w:rPr>
        <w:t>日</w:t>
      </w:r>
      <w:r>
        <w:rPr>
          <w:rFonts w:hint="eastAsia" w:ascii="宋体" w:hAnsi="宋体" w:cs="宋体"/>
          <w:b/>
          <w:bCs/>
          <w:sz w:val="28"/>
          <w:szCs w:val="28"/>
          <w:highlight w:val="none"/>
          <w:u w:val="none"/>
          <w:lang w:val="en-US" w:eastAsia="zh-CN"/>
        </w:rPr>
        <w:t>16时</w:t>
      </w:r>
      <w:r>
        <w:rPr>
          <w:rFonts w:hint="eastAsia" w:ascii="宋体" w:hAnsi="宋体" w:eastAsia="宋体" w:cs="宋体"/>
          <w:sz w:val="28"/>
          <w:szCs w:val="28"/>
          <w:u w:val="none"/>
          <w:lang w:val="en-US" w:eastAsia="zh-CN"/>
        </w:rPr>
        <w:t>，登录山东钢铁集团有限公司招标采购与拍卖信息管理平台（http://bams-cs.shansteelgroup.com）,下载电子版磋商文件。</w:t>
      </w:r>
    </w:p>
    <w:p w14:paraId="75197DE4">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2.注册：尚未在山东钢铁集团有限公司招标采购与拍卖信息管理平台注册的受邀人须在公告期内登录网址：http://bams-cs.shansteelgroup.com进行用户注册，注册成功后须修改初始密码。</w:t>
      </w:r>
    </w:p>
    <w:p w14:paraId="19FB91D0">
      <w:pPr>
        <w:pStyle w:val="3"/>
        <w:keepNext/>
        <w:keepLines/>
        <w:pageBreakBefore w:val="0"/>
        <w:widowControl w:val="0"/>
        <w:kinsoku/>
        <w:wordWrap/>
        <w:overflowPunct/>
        <w:topLinePunct w:val="0"/>
        <w:autoSpaceDE/>
        <w:autoSpaceDN/>
        <w:bidi w:val="0"/>
        <w:adjustRightInd w:val="0"/>
        <w:snapToGrid w:val="0"/>
        <w:spacing w:before="0" w:after="0" w:line="520" w:lineRule="exact"/>
        <w:ind w:firstLine="562" w:firstLineChars="200"/>
        <w:textAlignment w:val="auto"/>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五、</w:t>
      </w:r>
      <w:r>
        <w:rPr>
          <w:rFonts w:hint="eastAsia" w:ascii="宋体" w:hAnsi="宋体" w:eastAsia="宋体" w:cs="宋体"/>
          <w:b/>
          <w:bCs w:val="0"/>
          <w:sz w:val="28"/>
          <w:szCs w:val="28"/>
        </w:rPr>
        <w:t>询价响应文件的递交</w:t>
      </w:r>
    </w:p>
    <w:p w14:paraId="2BF07B86">
      <w:pPr>
        <w:pStyle w:val="3"/>
        <w:keepNext/>
        <w:keepLines/>
        <w:pageBreakBefore w:val="0"/>
        <w:widowControl w:val="0"/>
        <w:kinsoku/>
        <w:wordWrap/>
        <w:overflowPunct/>
        <w:topLinePunct w:val="0"/>
        <w:autoSpaceDE/>
        <w:autoSpaceDN/>
        <w:bidi w:val="0"/>
        <w:adjustRightInd w:val="0"/>
        <w:snapToGrid w:val="0"/>
        <w:spacing w:before="0" w:after="0" w:line="520" w:lineRule="exact"/>
        <w:ind w:left="559" w:leftChars="266" w:firstLine="0" w:firstLineChars="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lang w:eastAsia="zh-CN"/>
        </w:rPr>
        <w:t>响应文件构成：</w:t>
      </w:r>
      <w:r>
        <w:rPr>
          <w:rFonts w:hint="eastAsia" w:ascii="宋体" w:hAnsi="宋体" w:eastAsia="宋体" w:cs="宋体"/>
          <w:sz w:val="28"/>
          <w:szCs w:val="28"/>
          <w:u w:val="none"/>
          <w:lang w:eastAsia="zh-CN"/>
        </w:rPr>
        <w:t>平台</w:t>
      </w:r>
      <w:r>
        <w:rPr>
          <w:rFonts w:hint="eastAsia" w:ascii="宋体" w:hAnsi="宋体" w:eastAsia="宋体" w:cs="宋体"/>
          <w:sz w:val="28"/>
          <w:szCs w:val="28"/>
          <w:u w:val="none"/>
        </w:rPr>
        <w:t>报价</w:t>
      </w:r>
      <w:r>
        <w:rPr>
          <w:rFonts w:hint="eastAsia" w:ascii="宋体" w:hAnsi="宋体" w:eastAsia="宋体" w:cs="宋体"/>
          <w:sz w:val="28"/>
          <w:szCs w:val="28"/>
          <w:u w:val="none"/>
          <w:lang w:eastAsia="zh-CN"/>
        </w:rPr>
        <w:t>、平台上传盖章扫描版报价单</w:t>
      </w:r>
      <w:r>
        <w:rPr>
          <w:rFonts w:hint="eastAsia" w:ascii="宋体" w:hAnsi="宋体" w:eastAsia="宋体" w:cs="宋体"/>
          <w:sz w:val="28"/>
          <w:szCs w:val="28"/>
        </w:rPr>
        <w:t>。</w:t>
      </w:r>
    </w:p>
    <w:p w14:paraId="09E4DBD0">
      <w:pPr>
        <w:rPr>
          <w:rFonts w:hint="default" w:eastAsia="宋体"/>
          <w:lang w:val="en-US" w:eastAsia="zh-CN"/>
        </w:rPr>
      </w:pPr>
      <w:r>
        <w:rPr>
          <w:rFonts w:hint="eastAsia" w:ascii="宋体" w:hAnsi="宋体" w:cs="宋体"/>
          <w:sz w:val="28"/>
          <w:szCs w:val="28"/>
          <w:lang w:val="en-US" w:eastAsia="zh-CN"/>
        </w:rPr>
        <w:t xml:space="preserve">    2.响应文件递交截止时间：</w:t>
      </w:r>
      <w:r>
        <w:rPr>
          <w:rFonts w:hint="eastAsia" w:ascii="宋体" w:hAnsi="宋体" w:cs="宋体"/>
          <w:b/>
          <w:bCs/>
          <w:sz w:val="28"/>
          <w:szCs w:val="28"/>
          <w:highlight w:val="none"/>
          <w:lang w:val="en-US" w:eastAsia="zh-CN"/>
        </w:rPr>
        <w:t>2026年7月21日16时30分</w:t>
      </w:r>
      <w:r>
        <w:rPr>
          <w:rFonts w:hint="eastAsia" w:ascii="宋体" w:hAnsi="宋体" w:cs="宋体"/>
          <w:sz w:val="28"/>
          <w:szCs w:val="28"/>
          <w:lang w:val="en-US" w:eastAsia="zh-CN"/>
        </w:rPr>
        <w:t>。</w:t>
      </w:r>
    </w:p>
    <w:p w14:paraId="1A039FC9">
      <w:pPr>
        <w:pStyle w:val="3"/>
        <w:keepNext/>
        <w:keepLines/>
        <w:pageBreakBefore w:val="0"/>
        <w:widowControl w:val="0"/>
        <w:numPr>
          <w:ilvl w:val="0"/>
          <w:numId w:val="0"/>
        </w:numPr>
        <w:kinsoku/>
        <w:wordWrap/>
        <w:overflowPunct/>
        <w:topLinePunct w:val="0"/>
        <w:autoSpaceDE/>
        <w:autoSpaceDN/>
        <w:bidi w:val="0"/>
        <w:adjustRightInd w:val="0"/>
        <w:snapToGrid w:val="0"/>
        <w:spacing w:before="0" w:after="0" w:line="520" w:lineRule="exact"/>
        <w:ind w:firstLine="562" w:firstLineChars="200"/>
        <w:textAlignment w:val="auto"/>
        <w:rPr>
          <w:rFonts w:hint="eastAsia" w:ascii="宋体" w:hAnsi="宋体" w:eastAsia="宋体" w:cs="宋体"/>
          <w:sz w:val="28"/>
          <w:szCs w:val="28"/>
        </w:rPr>
      </w:pPr>
      <w:r>
        <w:rPr>
          <w:rFonts w:hint="eastAsia" w:ascii="宋体" w:hAnsi="宋体" w:eastAsia="宋体" w:cs="宋体"/>
          <w:b/>
          <w:bCs w:val="0"/>
          <w:sz w:val="28"/>
          <w:szCs w:val="28"/>
          <w:lang w:val="en-US" w:eastAsia="zh-CN"/>
        </w:rPr>
        <w:t>六、</w:t>
      </w:r>
      <w:r>
        <w:rPr>
          <w:rFonts w:hint="eastAsia" w:ascii="宋体" w:hAnsi="宋体" w:eastAsia="宋体" w:cs="宋体"/>
          <w:b/>
          <w:bCs w:val="0"/>
          <w:sz w:val="28"/>
          <w:szCs w:val="28"/>
        </w:rPr>
        <w:t>联系人及联系方式</w:t>
      </w:r>
    </w:p>
    <w:p w14:paraId="1B2F5CD8">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咨询时间： 工作日  上午：8:30-11:45      下午：13:30-16:45</w:t>
      </w:r>
    </w:p>
    <w:tbl>
      <w:tblPr>
        <w:tblStyle w:val="8"/>
        <w:tblW w:w="84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
        <w:gridCol w:w="1454"/>
        <w:gridCol w:w="3209"/>
        <w:gridCol w:w="2977"/>
      </w:tblGrid>
      <w:tr w14:paraId="058F9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32" w:type="dxa"/>
            <w:noWrap w:val="0"/>
            <w:vAlign w:val="center"/>
          </w:tcPr>
          <w:p w14:paraId="746D2153">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8"/>
                <w:szCs w:val="28"/>
              </w:rPr>
            </w:pPr>
            <w:r>
              <w:rPr>
                <w:rFonts w:hint="eastAsia" w:ascii="宋体" w:hAnsi="宋体" w:eastAsia="宋体" w:cs="宋体"/>
                <w:sz w:val="28"/>
                <w:szCs w:val="28"/>
              </w:rPr>
              <w:t>序号</w:t>
            </w:r>
          </w:p>
        </w:tc>
        <w:tc>
          <w:tcPr>
            <w:tcW w:w="1454" w:type="dxa"/>
            <w:noWrap w:val="0"/>
            <w:vAlign w:val="center"/>
          </w:tcPr>
          <w:p w14:paraId="449B6801">
            <w:pPr>
              <w:keepNext w:val="0"/>
              <w:keepLines w:val="0"/>
              <w:pageBreakBefore w:val="0"/>
              <w:widowControl w:val="0"/>
              <w:kinsoku/>
              <w:wordWrap/>
              <w:overflowPunct/>
              <w:topLinePunct w:val="0"/>
              <w:autoSpaceDE/>
              <w:autoSpaceDN/>
              <w:bidi w:val="0"/>
              <w:adjustRightInd w:val="0"/>
              <w:snapToGrid w:val="0"/>
              <w:spacing w:line="520" w:lineRule="exact"/>
              <w:ind w:firstLine="44" w:firstLineChars="16"/>
              <w:jc w:val="center"/>
              <w:textAlignment w:val="auto"/>
              <w:rPr>
                <w:rFonts w:hint="eastAsia" w:ascii="宋体" w:hAnsi="宋体" w:eastAsia="宋体" w:cs="宋体"/>
                <w:sz w:val="28"/>
                <w:szCs w:val="28"/>
              </w:rPr>
            </w:pPr>
            <w:r>
              <w:rPr>
                <w:rFonts w:hint="eastAsia" w:ascii="宋体" w:hAnsi="宋体" w:eastAsia="宋体" w:cs="宋体"/>
                <w:sz w:val="28"/>
                <w:szCs w:val="28"/>
              </w:rPr>
              <w:t>业务</w:t>
            </w:r>
          </w:p>
        </w:tc>
        <w:tc>
          <w:tcPr>
            <w:tcW w:w="3209" w:type="dxa"/>
            <w:noWrap w:val="0"/>
            <w:vAlign w:val="center"/>
          </w:tcPr>
          <w:p w14:paraId="6386F0A8">
            <w:pPr>
              <w:keepNext w:val="0"/>
              <w:keepLines w:val="0"/>
              <w:pageBreakBefore w:val="0"/>
              <w:widowControl w:val="0"/>
              <w:kinsoku/>
              <w:wordWrap/>
              <w:overflowPunct/>
              <w:topLinePunct w:val="0"/>
              <w:autoSpaceDE/>
              <w:autoSpaceDN/>
              <w:bidi w:val="0"/>
              <w:adjustRightInd w:val="0"/>
              <w:snapToGrid w:val="0"/>
              <w:spacing w:line="520" w:lineRule="exact"/>
              <w:ind w:firstLine="44" w:firstLineChars="16"/>
              <w:jc w:val="center"/>
              <w:textAlignment w:val="auto"/>
              <w:rPr>
                <w:rFonts w:hint="eastAsia" w:ascii="宋体" w:hAnsi="宋体" w:eastAsia="宋体" w:cs="宋体"/>
                <w:sz w:val="28"/>
                <w:szCs w:val="28"/>
              </w:rPr>
            </w:pPr>
            <w:r>
              <w:rPr>
                <w:rFonts w:hint="eastAsia" w:ascii="宋体" w:hAnsi="宋体" w:eastAsia="宋体" w:cs="宋体"/>
                <w:sz w:val="28"/>
                <w:szCs w:val="28"/>
              </w:rPr>
              <w:t>联系人</w:t>
            </w:r>
          </w:p>
        </w:tc>
        <w:tc>
          <w:tcPr>
            <w:tcW w:w="2977" w:type="dxa"/>
            <w:noWrap w:val="0"/>
            <w:vAlign w:val="center"/>
          </w:tcPr>
          <w:p w14:paraId="3A7D2772">
            <w:pPr>
              <w:keepNext w:val="0"/>
              <w:keepLines w:val="0"/>
              <w:pageBreakBefore w:val="0"/>
              <w:widowControl w:val="0"/>
              <w:kinsoku/>
              <w:wordWrap/>
              <w:overflowPunct/>
              <w:topLinePunct w:val="0"/>
              <w:autoSpaceDE/>
              <w:autoSpaceDN/>
              <w:bidi w:val="0"/>
              <w:adjustRightInd w:val="0"/>
              <w:snapToGrid w:val="0"/>
              <w:spacing w:line="520" w:lineRule="exact"/>
              <w:ind w:firstLine="44" w:firstLineChars="16"/>
              <w:jc w:val="center"/>
              <w:textAlignment w:val="auto"/>
              <w:rPr>
                <w:rFonts w:hint="eastAsia" w:ascii="宋体" w:hAnsi="宋体" w:eastAsia="宋体" w:cs="宋体"/>
                <w:sz w:val="28"/>
                <w:szCs w:val="28"/>
              </w:rPr>
            </w:pPr>
            <w:r>
              <w:rPr>
                <w:rFonts w:hint="eastAsia" w:ascii="宋体" w:hAnsi="宋体" w:eastAsia="宋体" w:cs="宋体"/>
                <w:sz w:val="28"/>
                <w:szCs w:val="28"/>
              </w:rPr>
              <w:t>联系方式</w:t>
            </w:r>
          </w:p>
        </w:tc>
      </w:tr>
      <w:tr w14:paraId="64ACC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32" w:type="dxa"/>
            <w:noWrap w:val="0"/>
            <w:vAlign w:val="center"/>
          </w:tcPr>
          <w:p w14:paraId="2477D372">
            <w:pPr>
              <w:keepNext w:val="0"/>
              <w:keepLines w:val="0"/>
              <w:pageBreakBefore w:val="0"/>
              <w:widowControl w:val="0"/>
              <w:kinsoku/>
              <w:wordWrap/>
              <w:overflowPunct/>
              <w:topLinePunct w:val="0"/>
              <w:autoSpaceDE/>
              <w:autoSpaceDN/>
              <w:bidi w:val="0"/>
              <w:adjustRightInd w:val="0"/>
              <w:snapToGrid w:val="0"/>
              <w:spacing w:line="520" w:lineRule="exact"/>
              <w:ind w:leftChars="-12" w:hanging="33" w:hangingChars="12"/>
              <w:jc w:val="center"/>
              <w:textAlignment w:val="auto"/>
              <w:rPr>
                <w:rFonts w:hint="eastAsia" w:ascii="宋体" w:hAnsi="宋体" w:eastAsia="宋体" w:cs="宋体"/>
                <w:sz w:val="28"/>
                <w:szCs w:val="28"/>
              </w:rPr>
            </w:pPr>
            <w:r>
              <w:rPr>
                <w:rFonts w:hint="eastAsia" w:ascii="宋体" w:hAnsi="宋体" w:eastAsia="宋体" w:cs="宋体"/>
                <w:sz w:val="28"/>
                <w:szCs w:val="28"/>
              </w:rPr>
              <w:t>1</w:t>
            </w:r>
          </w:p>
        </w:tc>
        <w:tc>
          <w:tcPr>
            <w:tcW w:w="1454" w:type="dxa"/>
            <w:noWrap w:val="0"/>
            <w:vAlign w:val="center"/>
          </w:tcPr>
          <w:p w14:paraId="6E53C3BA">
            <w:pPr>
              <w:keepNext w:val="0"/>
              <w:keepLines w:val="0"/>
              <w:pageBreakBefore w:val="0"/>
              <w:widowControl w:val="0"/>
              <w:kinsoku/>
              <w:wordWrap/>
              <w:overflowPunct/>
              <w:topLinePunct w:val="0"/>
              <w:autoSpaceDE/>
              <w:autoSpaceDN/>
              <w:bidi w:val="0"/>
              <w:adjustRightInd w:val="0"/>
              <w:snapToGrid w:val="0"/>
              <w:spacing w:line="520" w:lineRule="exact"/>
              <w:ind w:left="-2" w:leftChars="-1"/>
              <w:jc w:val="center"/>
              <w:textAlignment w:val="auto"/>
              <w:rPr>
                <w:rFonts w:hint="eastAsia" w:ascii="宋体" w:hAnsi="宋体" w:eastAsia="宋体" w:cs="宋体"/>
                <w:sz w:val="28"/>
                <w:szCs w:val="28"/>
              </w:rPr>
            </w:pPr>
            <w:r>
              <w:rPr>
                <w:rFonts w:hint="eastAsia" w:ascii="宋体" w:hAnsi="宋体" w:eastAsia="宋体" w:cs="宋体"/>
                <w:sz w:val="28"/>
                <w:szCs w:val="28"/>
              </w:rPr>
              <w:t>投标咨询</w:t>
            </w:r>
          </w:p>
        </w:tc>
        <w:tc>
          <w:tcPr>
            <w:tcW w:w="3209" w:type="dxa"/>
            <w:noWrap w:val="0"/>
            <w:vAlign w:val="center"/>
          </w:tcPr>
          <w:p w14:paraId="1835C47A">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rPr>
            </w:pPr>
            <w:r>
              <w:rPr>
                <w:rFonts w:hint="eastAsia" w:ascii="宋体" w:hAnsi="宋体" w:eastAsia="宋体" w:cs="宋体"/>
                <w:sz w:val="28"/>
                <w:szCs w:val="28"/>
                <w:lang w:eastAsia="zh-CN"/>
              </w:rPr>
              <w:t>宫</w:t>
            </w:r>
            <w:r>
              <w:rPr>
                <w:rFonts w:hint="eastAsia" w:ascii="宋体" w:hAnsi="宋体" w:eastAsia="宋体" w:cs="宋体"/>
                <w:sz w:val="28"/>
                <w:szCs w:val="28"/>
              </w:rPr>
              <w:t>先生</w:t>
            </w:r>
          </w:p>
        </w:tc>
        <w:tc>
          <w:tcPr>
            <w:tcW w:w="2977" w:type="dxa"/>
            <w:noWrap w:val="0"/>
            <w:vAlign w:val="center"/>
          </w:tcPr>
          <w:p w14:paraId="55D4C798">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rPr>
            </w:pPr>
            <w:r>
              <w:rPr>
                <w:rFonts w:hint="eastAsia" w:ascii="宋体" w:hAnsi="宋体" w:eastAsia="宋体" w:cs="宋体"/>
                <w:sz w:val="28"/>
                <w:szCs w:val="28"/>
              </w:rPr>
              <w:t>0533-3089963</w:t>
            </w:r>
          </w:p>
        </w:tc>
      </w:tr>
      <w:tr w14:paraId="009C9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832" w:type="dxa"/>
            <w:noWrap w:val="0"/>
            <w:vAlign w:val="center"/>
          </w:tcPr>
          <w:p w14:paraId="7B355DE4">
            <w:pPr>
              <w:keepNext w:val="0"/>
              <w:keepLines w:val="0"/>
              <w:pageBreakBefore w:val="0"/>
              <w:widowControl w:val="0"/>
              <w:kinsoku/>
              <w:wordWrap/>
              <w:overflowPunct/>
              <w:topLinePunct w:val="0"/>
              <w:autoSpaceDE/>
              <w:autoSpaceDN/>
              <w:bidi w:val="0"/>
              <w:adjustRightInd w:val="0"/>
              <w:snapToGrid w:val="0"/>
              <w:spacing w:line="520" w:lineRule="exact"/>
              <w:ind w:left="8" w:leftChars="-12" w:hanging="33" w:hangingChars="12"/>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w:t>
            </w:r>
          </w:p>
        </w:tc>
        <w:tc>
          <w:tcPr>
            <w:tcW w:w="1454" w:type="dxa"/>
            <w:noWrap w:val="0"/>
            <w:vAlign w:val="center"/>
          </w:tcPr>
          <w:p w14:paraId="71442B95">
            <w:pPr>
              <w:keepNext w:val="0"/>
              <w:keepLines w:val="0"/>
              <w:pageBreakBefore w:val="0"/>
              <w:widowControl w:val="0"/>
              <w:kinsoku/>
              <w:wordWrap/>
              <w:overflowPunct/>
              <w:topLinePunct w:val="0"/>
              <w:autoSpaceDE/>
              <w:autoSpaceDN/>
              <w:bidi w:val="0"/>
              <w:adjustRightInd w:val="0"/>
              <w:snapToGrid w:val="0"/>
              <w:spacing w:line="520" w:lineRule="exact"/>
              <w:ind w:left="-2" w:leftChars="-1"/>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商务咨询</w:t>
            </w:r>
          </w:p>
        </w:tc>
        <w:tc>
          <w:tcPr>
            <w:tcW w:w="3209" w:type="dxa"/>
            <w:noWrap w:val="0"/>
            <w:vAlign w:val="center"/>
          </w:tcPr>
          <w:p w14:paraId="72786BFC">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魏先生</w:t>
            </w:r>
          </w:p>
        </w:tc>
        <w:tc>
          <w:tcPr>
            <w:tcW w:w="2977" w:type="dxa"/>
            <w:noWrap w:val="0"/>
            <w:vAlign w:val="center"/>
          </w:tcPr>
          <w:p w14:paraId="715722F7">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default" w:ascii="宋体" w:hAnsi="宋体" w:eastAsia="宋体" w:cs="宋体"/>
                <w:kern w:val="0"/>
                <w:sz w:val="28"/>
                <w:szCs w:val="28"/>
                <w:highlight w:val="none"/>
                <w:lang w:val="en-US" w:eastAsia="zh-CN"/>
              </w:rPr>
            </w:pPr>
            <w:r>
              <w:rPr>
                <w:rFonts w:hint="eastAsia" w:ascii="宋体" w:hAnsi="宋体" w:eastAsia="宋体" w:cs="宋体"/>
                <w:kern w:val="0"/>
                <w:sz w:val="28"/>
                <w:szCs w:val="28"/>
                <w:highlight w:val="none"/>
                <w:lang w:val="en-US" w:eastAsia="zh-CN"/>
              </w:rPr>
              <w:t>0533-30893</w:t>
            </w:r>
            <w:r>
              <w:rPr>
                <w:rFonts w:hint="eastAsia" w:ascii="宋体" w:hAnsi="宋体" w:cs="宋体"/>
                <w:kern w:val="0"/>
                <w:sz w:val="28"/>
                <w:szCs w:val="28"/>
                <w:highlight w:val="none"/>
                <w:lang w:val="en-US" w:eastAsia="zh-CN"/>
              </w:rPr>
              <w:t>84</w:t>
            </w:r>
          </w:p>
        </w:tc>
      </w:tr>
      <w:tr w14:paraId="609AA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32" w:type="dxa"/>
            <w:noWrap w:val="0"/>
            <w:vAlign w:val="center"/>
          </w:tcPr>
          <w:p w14:paraId="597E03D5">
            <w:pPr>
              <w:keepNext w:val="0"/>
              <w:keepLines w:val="0"/>
              <w:pageBreakBefore w:val="0"/>
              <w:widowControl w:val="0"/>
              <w:kinsoku/>
              <w:wordWrap/>
              <w:overflowPunct/>
              <w:topLinePunct w:val="0"/>
              <w:autoSpaceDE/>
              <w:autoSpaceDN/>
              <w:bidi w:val="0"/>
              <w:adjustRightInd w:val="0"/>
              <w:snapToGrid w:val="0"/>
              <w:spacing w:line="520" w:lineRule="exact"/>
              <w:ind w:leftChars="-12" w:hanging="33" w:hangingChars="12"/>
              <w:jc w:val="center"/>
              <w:textAlignment w:val="auto"/>
              <w:rPr>
                <w:rFonts w:hint="eastAsia" w:ascii="宋体" w:hAnsi="宋体" w:eastAsia="宋体" w:cs="宋体"/>
                <w:sz w:val="28"/>
                <w:szCs w:val="28"/>
                <w:lang w:eastAsia="zh-CN"/>
              </w:rPr>
            </w:pPr>
            <w:r>
              <w:rPr>
                <w:rFonts w:hint="eastAsia" w:ascii="宋体" w:hAnsi="宋体" w:eastAsia="宋体" w:cs="宋体"/>
                <w:sz w:val="28"/>
                <w:szCs w:val="28"/>
                <w:lang w:val="en-US" w:eastAsia="zh-CN"/>
              </w:rPr>
              <w:t>3</w:t>
            </w:r>
          </w:p>
        </w:tc>
        <w:tc>
          <w:tcPr>
            <w:tcW w:w="1454" w:type="dxa"/>
            <w:noWrap w:val="0"/>
            <w:vAlign w:val="center"/>
          </w:tcPr>
          <w:p w14:paraId="6D93B940">
            <w:pPr>
              <w:keepNext w:val="0"/>
              <w:keepLines w:val="0"/>
              <w:pageBreakBefore w:val="0"/>
              <w:widowControl w:val="0"/>
              <w:kinsoku/>
              <w:wordWrap/>
              <w:overflowPunct/>
              <w:topLinePunct w:val="0"/>
              <w:autoSpaceDE/>
              <w:autoSpaceDN/>
              <w:bidi w:val="0"/>
              <w:adjustRightInd w:val="0"/>
              <w:snapToGrid w:val="0"/>
              <w:spacing w:line="520" w:lineRule="exact"/>
              <w:ind w:left="-2" w:leftChars="-1"/>
              <w:jc w:val="center"/>
              <w:textAlignment w:val="auto"/>
              <w:rPr>
                <w:rFonts w:hint="eastAsia" w:ascii="宋体" w:hAnsi="宋体" w:eastAsia="宋体" w:cs="宋体"/>
                <w:sz w:val="28"/>
                <w:szCs w:val="28"/>
              </w:rPr>
            </w:pPr>
            <w:r>
              <w:rPr>
                <w:rFonts w:hint="eastAsia" w:ascii="宋体" w:hAnsi="宋体" w:eastAsia="宋体" w:cs="宋体"/>
                <w:sz w:val="28"/>
                <w:szCs w:val="28"/>
              </w:rPr>
              <w:t>监督</w:t>
            </w:r>
          </w:p>
        </w:tc>
        <w:tc>
          <w:tcPr>
            <w:tcW w:w="3209" w:type="dxa"/>
            <w:noWrap w:val="0"/>
            <w:vAlign w:val="center"/>
          </w:tcPr>
          <w:p w14:paraId="42E39FF8">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rPr>
            </w:pPr>
          </w:p>
        </w:tc>
        <w:tc>
          <w:tcPr>
            <w:tcW w:w="2977" w:type="dxa"/>
            <w:noWrap w:val="0"/>
            <w:vAlign w:val="center"/>
          </w:tcPr>
          <w:p w14:paraId="57F6F7A1">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rPr>
            </w:pPr>
            <w:r>
              <w:rPr>
                <w:rFonts w:hint="eastAsia" w:ascii="宋体" w:hAnsi="宋体" w:eastAsia="宋体" w:cs="宋体"/>
                <w:sz w:val="28"/>
                <w:szCs w:val="28"/>
              </w:rPr>
              <w:t>0533-3089311</w:t>
            </w:r>
          </w:p>
        </w:tc>
      </w:tr>
    </w:tbl>
    <w:p w14:paraId="44BFF3EC">
      <w:pPr>
        <w:pStyle w:val="3"/>
        <w:keepNext/>
        <w:keepLines/>
        <w:pageBreakBefore w:val="0"/>
        <w:widowControl w:val="0"/>
        <w:kinsoku/>
        <w:wordWrap/>
        <w:overflowPunct/>
        <w:topLinePunct w:val="0"/>
        <w:autoSpaceDE/>
        <w:autoSpaceDN/>
        <w:bidi w:val="0"/>
        <w:adjustRightInd/>
        <w:snapToGrid/>
        <w:spacing w:before="0" w:after="0" w:line="360" w:lineRule="exact"/>
        <w:textAlignment w:val="auto"/>
        <w:rPr>
          <w:rFonts w:hint="eastAsia" w:ascii="宋体" w:hAnsi="宋体" w:eastAsia="宋体" w:cs="宋体"/>
          <w:sz w:val="28"/>
          <w:szCs w:val="28"/>
        </w:rPr>
      </w:pPr>
      <w:r>
        <w:rPr>
          <w:rFonts w:hint="eastAsia" w:ascii="宋体" w:hAnsi="宋体" w:eastAsia="宋体" w:cs="宋体"/>
          <w:sz w:val="28"/>
          <w:szCs w:val="28"/>
        </w:rPr>
        <w:t xml:space="preserve">   </w:t>
      </w:r>
      <w:bookmarkEnd w:id="1"/>
      <w:bookmarkEnd w:id="2"/>
    </w:p>
    <w:p w14:paraId="647DECA5">
      <w:pPr>
        <w:widowControl w:val="0"/>
        <w:numPr>
          <w:ilvl w:val="0"/>
          <w:numId w:val="0"/>
        </w:numPr>
        <w:adjustRightInd w:val="0"/>
        <w:spacing w:line="240" w:lineRule="auto"/>
        <w:jc w:val="center"/>
        <w:textAlignment w:val="baseline"/>
        <w:rPr>
          <w:rFonts w:hint="eastAsia" w:ascii="黑体" w:hAnsi="Times New Roman" w:eastAsia="黑体" w:cs="Times New Roman"/>
          <w:b/>
          <w:bCs/>
          <w:kern w:val="44"/>
          <w:sz w:val="44"/>
          <w:szCs w:val="44"/>
          <w:lang w:val="en-US" w:eastAsia="zh-CN" w:bidi="ar-SA"/>
        </w:rPr>
      </w:pPr>
      <w:r>
        <w:rPr>
          <w:rFonts w:hint="eastAsia" w:ascii="黑体" w:hAnsi="Times New Roman" w:eastAsia="黑体" w:cs="Times New Roman"/>
          <w:b/>
          <w:bCs/>
          <w:kern w:val="44"/>
          <w:sz w:val="44"/>
          <w:szCs w:val="44"/>
          <w:lang w:val="en-US" w:eastAsia="zh-CN" w:bidi="ar-SA"/>
        </w:rPr>
        <w:t>招采平台注册账号步骤</w:t>
      </w:r>
    </w:p>
    <w:p w14:paraId="0A4FED99">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1登录网站http://bams-cs.shansteelgroup.com，点击注册按钮。</w:t>
      </w:r>
    </w:p>
    <w:p w14:paraId="3A433A67">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2规范填写公司信息及联系人信息，点击下一步完成注册。</w:t>
      </w:r>
    </w:p>
    <w:p w14:paraId="433E22A7">
      <w:pPr>
        <w:widowControl w:val="0"/>
        <w:numPr>
          <w:ilvl w:val="0"/>
          <w:numId w:val="0"/>
        </w:numPr>
        <w:adjustRightInd w:val="0"/>
        <w:spacing w:line="240" w:lineRule="auto"/>
        <w:jc w:val="center"/>
        <w:textAlignment w:val="baseline"/>
        <w:rPr>
          <w:rFonts w:hint="eastAsia" w:ascii="宋体" w:hAnsi="宋体" w:eastAsia="宋体" w:cs="宋体"/>
          <w:b/>
          <w:kern w:val="2"/>
          <w:sz w:val="28"/>
          <w:szCs w:val="28"/>
          <w:lang w:val="en-US" w:eastAsia="zh-CN" w:bidi="ar-SA"/>
        </w:rPr>
      </w:pPr>
      <w:r>
        <w:drawing>
          <wp:inline distT="0" distB="0" distL="114300" distR="114300">
            <wp:extent cx="5265420" cy="3388995"/>
            <wp:effectExtent l="0" t="0" r="11430" b="190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6"/>
                    <a:stretch>
                      <a:fillRect/>
                    </a:stretch>
                  </pic:blipFill>
                  <pic:spPr>
                    <a:xfrm>
                      <a:off x="0" y="0"/>
                      <a:ext cx="5265420" cy="3388995"/>
                    </a:xfrm>
                    <a:prstGeom prst="rect">
                      <a:avLst/>
                    </a:prstGeom>
                    <a:noFill/>
                    <a:ln>
                      <a:noFill/>
                    </a:ln>
                  </pic:spPr>
                </pic:pic>
              </a:graphicData>
            </a:graphic>
          </wp:inline>
        </w:drawing>
      </w:r>
    </w:p>
    <w:p w14:paraId="663913DB">
      <w:pPr>
        <w:widowControl w:val="0"/>
        <w:numPr>
          <w:ilvl w:val="0"/>
          <w:numId w:val="0"/>
        </w:numPr>
        <w:adjustRightInd w:val="0"/>
        <w:spacing w:line="240" w:lineRule="auto"/>
        <w:jc w:val="center"/>
        <w:textAlignment w:val="baseline"/>
        <w:rPr>
          <w:rFonts w:hint="default" w:ascii="宋体" w:hAnsi="宋体" w:eastAsia="宋体" w:cs="宋体"/>
          <w:b/>
          <w:kern w:val="2"/>
          <w:sz w:val="28"/>
          <w:szCs w:val="28"/>
          <w:lang w:val="en-US" w:eastAsia="zh-CN" w:bidi="ar-SA"/>
        </w:rPr>
      </w:pPr>
      <w:r>
        <w:drawing>
          <wp:inline distT="0" distB="0" distL="114300" distR="114300">
            <wp:extent cx="5271770" cy="3283585"/>
            <wp:effectExtent l="0" t="0" r="5080" b="12065"/>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icPr>
                  <pic:blipFill>
                    <a:blip r:embed="rId7"/>
                    <a:stretch>
                      <a:fillRect/>
                    </a:stretch>
                  </pic:blipFill>
                  <pic:spPr>
                    <a:xfrm>
                      <a:off x="0" y="0"/>
                      <a:ext cx="5271770" cy="3283585"/>
                    </a:xfrm>
                    <a:prstGeom prst="rect">
                      <a:avLst/>
                    </a:prstGeom>
                    <a:noFill/>
                    <a:ln>
                      <a:noFill/>
                    </a:ln>
                  </pic:spPr>
                </pic:pic>
              </a:graphicData>
            </a:graphic>
          </wp:inline>
        </w:drawing>
      </w:r>
    </w:p>
    <w:p w14:paraId="4AC42BAE">
      <w:pPr>
        <w:jc w:val="center"/>
        <w:rPr>
          <w:rFonts w:hint="eastAsia" w:ascii="黑体" w:hAnsi="Times New Roman" w:eastAsia="黑体" w:cs="Times New Roman"/>
          <w:b/>
          <w:bCs/>
          <w:kern w:val="44"/>
          <w:sz w:val="44"/>
          <w:szCs w:val="44"/>
          <w:lang w:val="en-US" w:eastAsia="zh-CN" w:bidi="ar-SA"/>
        </w:rPr>
      </w:pPr>
      <w:r>
        <w:rPr>
          <w:rFonts w:hint="eastAsia" w:ascii="黑体" w:hAnsi="Times New Roman" w:eastAsia="黑体" w:cs="Times New Roman"/>
          <w:b/>
          <w:bCs/>
          <w:kern w:val="44"/>
          <w:sz w:val="44"/>
          <w:szCs w:val="44"/>
          <w:lang w:val="en-US" w:eastAsia="zh-CN" w:bidi="ar-SA"/>
        </w:rPr>
        <w:t>招采平台网上投标步骤</w:t>
      </w:r>
    </w:p>
    <w:p w14:paraId="534B59C6">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1登录网址：</w:t>
      </w:r>
      <w:r>
        <w:rPr>
          <w:rFonts w:hint="eastAsia" w:ascii="宋体" w:hAnsi="宋体" w:eastAsia="宋体" w:cs="宋体"/>
          <w:b w:val="0"/>
          <w:bCs/>
          <w:sz w:val="28"/>
          <w:szCs w:val="28"/>
          <w:lang w:val="en-US" w:eastAsia="zh-CN"/>
        </w:rPr>
        <w:fldChar w:fldCharType="begin"/>
      </w:r>
      <w:r>
        <w:rPr>
          <w:rFonts w:hint="eastAsia" w:ascii="宋体" w:hAnsi="宋体" w:eastAsia="宋体" w:cs="宋体"/>
          <w:b w:val="0"/>
          <w:bCs/>
          <w:sz w:val="28"/>
          <w:szCs w:val="28"/>
          <w:lang w:val="en-US" w:eastAsia="zh-CN"/>
        </w:rPr>
        <w:instrText xml:space="preserve"> HYPERLINK "http://bams.shansteelgroup.com，进入到下面界面" </w:instrText>
      </w:r>
      <w:r>
        <w:rPr>
          <w:rFonts w:hint="eastAsia" w:ascii="宋体" w:hAnsi="宋体" w:eastAsia="宋体" w:cs="宋体"/>
          <w:b w:val="0"/>
          <w:bCs/>
          <w:sz w:val="28"/>
          <w:szCs w:val="28"/>
          <w:lang w:val="en-US" w:eastAsia="zh-CN"/>
        </w:rPr>
        <w:fldChar w:fldCharType="separate"/>
      </w:r>
      <w:bookmarkStart w:id="3" w:name="OLE_LINK4"/>
      <w:r>
        <w:rPr>
          <w:rFonts w:hint="eastAsia" w:ascii="宋体" w:hAnsi="宋体" w:eastAsia="宋体" w:cs="宋体"/>
          <w:b w:val="0"/>
          <w:bCs/>
          <w:sz w:val="28"/>
          <w:szCs w:val="28"/>
          <w:lang w:val="en-US" w:eastAsia="zh-CN"/>
        </w:rPr>
        <w:t>http://bams-cs.shansteelgroup.com</w:t>
      </w:r>
      <w:bookmarkEnd w:id="3"/>
      <w:r>
        <w:rPr>
          <w:rFonts w:hint="eastAsia" w:ascii="宋体" w:hAnsi="宋体" w:eastAsia="宋体" w:cs="宋体"/>
          <w:b w:val="0"/>
          <w:bCs/>
          <w:sz w:val="28"/>
          <w:szCs w:val="28"/>
          <w:lang w:val="en-US" w:eastAsia="zh-CN"/>
        </w:rPr>
        <w:t>，进入到下面界面</w:t>
      </w:r>
      <w:r>
        <w:rPr>
          <w:rFonts w:hint="eastAsia" w:ascii="宋体" w:hAnsi="宋体" w:eastAsia="宋体" w:cs="宋体"/>
          <w:b w:val="0"/>
          <w:bCs/>
          <w:sz w:val="28"/>
          <w:szCs w:val="28"/>
          <w:lang w:val="en-US" w:eastAsia="zh-CN"/>
        </w:rPr>
        <w:fldChar w:fldCharType="end"/>
      </w:r>
    </w:p>
    <w:p w14:paraId="392676C1">
      <w:pPr>
        <w:numPr>
          <w:ilvl w:val="0"/>
          <w:numId w:val="0"/>
        </w:numPr>
        <w:spacing w:line="360" w:lineRule="auto"/>
        <w:jc w:val="center"/>
        <w:rPr>
          <w:rFonts w:hint="eastAsia" w:ascii="宋体" w:hAnsi="宋体" w:eastAsia="宋体" w:cs="宋体"/>
          <w:b/>
          <w:bCs/>
          <w:sz w:val="28"/>
          <w:szCs w:val="28"/>
          <w:lang w:val="en-US" w:eastAsia="zh-CN"/>
        </w:rPr>
      </w:pPr>
      <w:r>
        <w:rPr>
          <w:rFonts w:ascii="Calibri" w:hAnsi="Calibri" w:eastAsia="宋体" w:cs="Times New Roman"/>
          <w:szCs w:val="22"/>
        </w:rPr>
        <w:drawing>
          <wp:inline distT="0" distB="0" distL="114300" distR="114300">
            <wp:extent cx="5760085" cy="2512695"/>
            <wp:effectExtent l="0" t="0" r="12065" b="1905"/>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8"/>
                    <a:stretch>
                      <a:fillRect/>
                    </a:stretch>
                  </pic:blipFill>
                  <pic:spPr>
                    <a:xfrm>
                      <a:off x="0" y="0"/>
                      <a:ext cx="5760085" cy="2512695"/>
                    </a:xfrm>
                    <a:prstGeom prst="rect">
                      <a:avLst/>
                    </a:prstGeom>
                    <a:noFill/>
                    <a:ln>
                      <a:noFill/>
                    </a:ln>
                  </pic:spPr>
                </pic:pic>
              </a:graphicData>
            </a:graphic>
          </wp:inline>
        </w:drawing>
      </w:r>
    </w:p>
    <w:p w14:paraId="3D3767C5">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在上图右侧投标人登录入口处依次输入用户名、密码、验证码后，点击登录。原山东钢铁集团招标采购与拍卖管理信息平台</w:t>
      </w:r>
    </w:p>
    <w:p w14:paraId="1E855C6D">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2 登录系统点击项目管理“网上报名”后显示可报名项目列表，点击操作列下载可下载招标公告，点击报名按钮可选择包号报名。</w:t>
      </w:r>
    </w:p>
    <w:p w14:paraId="03C86756">
      <w:pPr>
        <w:numPr>
          <w:ilvl w:val="0"/>
          <w:numId w:val="0"/>
        </w:numPr>
        <w:spacing w:line="360" w:lineRule="auto"/>
        <w:ind w:leftChars="0"/>
        <w:jc w:val="left"/>
        <w:rPr>
          <w:rFonts w:ascii="Calibri" w:hAnsi="Calibri" w:eastAsia="宋体" w:cs="Times New Roman"/>
          <w:szCs w:val="22"/>
        </w:rPr>
      </w:pPr>
      <w:r>
        <w:rPr>
          <w:rFonts w:ascii="Calibri" w:hAnsi="Calibri" w:eastAsia="宋体" w:cs="Times New Roman"/>
          <w:szCs w:val="22"/>
        </w:rPr>
        <w:drawing>
          <wp:inline distT="0" distB="0" distL="114300" distR="114300">
            <wp:extent cx="5742305" cy="987425"/>
            <wp:effectExtent l="0" t="0" r="10795" b="3175"/>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9"/>
                    <a:stretch>
                      <a:fillRect/>
                    </a:stretch>
                  </pic:blipFill>
                  <pic:spPr>
                    <a:xfrm>
                      <a:off x="0" y="0"/>
                      <a:ext cx="5742305" cy="987425"/>
                    </a:xfrm>
                    <a:prstGeom prst="rect">
                      <a:avLst/>
                    </a:prstGeom>
                    <a:noFill/>
                    <a:ln>
                      <a:noFill/>
                    </a:ln>
                  </pic:spPr>
                </pic:pic>
              </a:graphicData>
            </a:graphic>
          </wp:inline>
        </w:drawing>
      </w:r>
    </w:p>
    <w:p w14:paraId="14120B57">
      <w:pPr>
        <w:bidi w:val="0"/>
        <w:spacing w:line="360" w:lineRule="auto"/>
        <w:jc w:val="center"/>
        <w:rPr>
          <w:rFonts w:hint="eastAsia" w:ascii="Calibri" w:hAnsi="Calibri" w:eastAsia="宋体" w:cs="Times New Roman"/>
          <w:szCs w:val="22"/>
          <w:lang w:val="en-US" w:eastAsia="zh-CN"/>
        </w:rPr>
      </w:pPr>
      <w:r>
        <w:rPr>
          <w:rFonts w:ascii="Calibri" w:hAnsi="Calibri" w:eastAsia="宋体" w:cs="Times New Roman"/>
          <w:szCs w:val="22"/>
        </w:rPr>
        <w:drawing>
          <wp:inline distT="0" distB="0" distL="114300" distR="114300">
            <wp:extent cx="5752465" cy="2389505"/>
            <wp:effectExtent l="0" t="0" r="635" b="10795"/>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10"/>
                    <a:stretch>
                      <a:fillRect/>
                    </a:stretch>
                  </pic:blipFill>
                  <pic:spPr>
                    <a:xfrm>
                      <a:off x="0" y="0"/>
                      <a:ext cx="5752465" cy="2389505"/>
                    </a:xfrm>
                    <a:prstGeom prst="rect">
                      <a:avLst/>
                    </a:prstGeom>
                    <a:noFill/>
                    <a:ln>
                      <a:noFill/>
                    </a:ln>
                  </pic:spPr>
                </pic:pic>
              </a:graphicData>
            </a:graphic>
          </wp:inline>
        </w:drawing>
      </w:r>
    </w:p>
    <w:p w14:paraId="57CB7D57">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3点击“已报名”菜单，可查看已报名项目，显示缴费状态。招标单位确认收费后点击操作列下载按钮可下载招标文件。</w:t>
      </w:r>
    </w:p>
    <w:p w14:paraId="0CFBA6A4">
      <w:pPr>
        <w:numPr>
          <w:ilvl w:val="0"/>
          <w:numId w:val="0"/>
        </w:numPr>
        <w:spacing w:line="360" w:lineRule="auto"/>
        <w:ind w:leftChars="0"/>
        <w:jc w:val="center"/>
        <w:rPr>
          <w:rFonts w:hint="eastAsia" w:ascii="宋体" w:hAnsi="宋体" w:eastAsia="宋体" w:cs="宋体"/>
          <w:b w:val="0"/>
          <w:bCs w:val="0"/>
          <w:color w:val="000000"/>
          <w:sz w:val="28"/>
          <w:szCs w:val="28"/>
          <w:lang w:val="en-US" w:eastAsia="zh-CN"/>
        </w:rPr>
      </w:pPr>
      <w:r>
        <w:rPr>
          <w:rFonts w:ascii="Calibri" w:hAnsi="Calibri" w:eastAsia="宋体" w:cs="Times New Roman"/>
          <w:szCs w:val="22"/>
        </w:rPr>
        <w:drawing>
          <wp:inline distT="0" distB="0" distL="114300" distR="114300">
            <wp:extent cx="5750560" cy="837565"/>
            <wp:effectExtent l="0" t="0" r="2540" b="635"/>
            <wp:docPr id="1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pic:cNvPicPr>
                      <a:picLocks noChangeAspect="1"/>
                    </pic:cNvPicPr>
                  </pic:nvPicPr>
                  <pic:blipFill>
                    <a:blip r:embed="rId11"/>
                    <a:stretch>
                      <a:fillRect/>
                    </a:stretch>
                  </pic:blipFill>
                  <pic:spPr>
                    <a:xfrm>
                      <a:off x="0" y="0"/>
                      <a:ext cx="5750560" cy="837565"/>
                    </a:xfrm>
                    <a:prstGeom prst="rect">
                      <a:avLst/>
                    </a:prstGeom>
                    <a:noFill/>
                    <a:ln>
                      <a:noFill/>
                    </a:ln>
                  </pic:spPr>
                </pic:pic>
              </a:graphicData>
            </a:graphic>
          </wp:inline>
        </w:drawing>
      </w:r>
    </w:p>
    <w:p w14:paraId="68765DDB">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4 点击投标管理“待投标”菜单，可显示已缴费待投标项目，点击报价按钮可显示需报价物料，可填写单价，备注：点击保存完成报价；点击文件上传按钮，选择文件完成投标文件上传。最后点击确定按钮完成投标。</w:t>
      </w:r>
    </w:p>
    <w:p w14:paraId="05BE64ED">
      <w:pPr>
        <w:bidi w:val="0"/>
        <w:spacing w:line="360" w:lineRule="auto"/>
        <w:jc w:val="center"/>
        <w:rPr>
          <w:rFonts w:ascii="Calibri" w:hAnsi="Calibri" w:eastAsia="宋体" w:cs="Times New Roman"/>
          <w:szCs w:val="22"/>
        </w:rPr>
      </w:pPr>
      <w:r>
        <w:rPr>
          <w:rFonts w:ascii="Calibri" w:hAnsi="Calibri" w:eastAsia="宋体" w:cs="Times New Roman"/>
          <w:szCs w:val="22"/>
        </w:rPr>
        <w:drawing>
          <wp:inline distT="0" distB="0" distL="114300" distR="114300">
            <wp:extent cx="5752465" cy="2386330"/>
            <wp:effectExtent l="0" t="0" r="635" b="13970"/>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icPr>
                  <pic:blipFill>
                    <a:blip r:embed="rId12"/>
                    <a:stretch>
                      <a:fillRect/>
                    </a:stretch>
                  </pic:blipFill>
                  <pic:spPr>
                    <a:xfrm>
                      <a:off x="0" y="0"/>
                      <a:ext cx="5752465" cy="2386330"/>
                    </a:xfrm>
                    <a:prstGeom prst="rect">
                      <a:avLst/>
                    </a:prstGeom>
                    <a:noFill/>
                    <a:ln>
                      <a:noFill/>
                    </a:ln>
                  </pic:spPr>
                </pic:pic>
              </a:graphicData>
            </a:graphic>
          </wp:inline>
        </w:drawing>
      </w:r>
    </w:p>
    <w:p w14:paraId="1A4390BC">
      <w:pPr>
        <w:spacing w:line="360" w:lineRule="auto"/>
        <w:jc w:val="center"/>
        <w:rPr>
          <w:rFonts w:ascii="Calibri" w:hAnsi="Calibri" w:eastAsia="宋体" w:cs="Times New Roman"/>
          <w:szCs w:val="22"/>
        </w:rPr>
      </w:pPr>
      <w:r>
        <w:rPr>
          <w:rFonts w:ascii="Calibri" w:hAnsi="Calibri" w:eastAsia="宋体" w:cs="Times New Roman"/>
          <w:szCs w:val="22"/>
        </w:rPr>
        <w:drawing>
          <wp:inline distT="0" distB="0" distL="114300" distR="114300">
            <wp:extent cx="5753735" cy="2126615"/>
            <wp:effectExtent l="0" t="0" r="18415" b="6985"/>
            <wp:docPr id="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pic:cNvPicPr>
                      <a:picLocks noChangeAspect="1"/>
                    </pic:cNvPicPr>
                  </pic:nvPicPr>
                  <pic:blipFill>
                    <a:blip r:embed="rId13"/>
                    <a:stretch>
                      <a:fillRect/>
                    </a:stretch>
                  </pic:blipFill>
                  <pic:spPr>
                    <a:xfrm>
                      <a:off x="0" y="0"/>
                      <a:ext cx="5753735" cy="2126615"/>
                    </a:xfrm>
                    <a:prstGeom prst="rect">
                      <a:avLst/>
                    </a:prstGeom>
                    <a:noFill/>
                    <a:ln>
                      <a:noFill/>
                    </a:ln>
                  </pic:spPr>
                </pic:pic>
              </a:graphicData>
            </a:graphic>
          </wp:inline>
        </w:drawing>
      </w:r>
    </w:p>
    <w:p w14:paraId="57838514">
      <w:pPr>
        <w:spacing w:line="360" w:lineRule="auto"/>
        <w:jc w:val="center"/>
        <w:rPr>
          <w:rFonts w:hint="eastAsia" w:ascii="Calibri" w:hAnsi="Calibri" w:eastAsia="宋体" w:cs="Times New Roman"/>
          <w:szCs w:val="22"/>
          <w:lang w:val="en-US" w:eastAsia="zh-CN"/>
        </w:rPr>
      </w:pPr>
      <w:r>
        <w:rPr>
          <w:rFonts w:ascii="Calibri" w:hAnsi="Calibri" w:eastAsia="宋体" w:cs="Times New Roman"/>
          <w:szCs w:val="22"/>
        </w:rPr>
        <w:drawing>
          <wp:inline distT="0" distB="0" distL="114300" distR="114300">
            <wp:extent cx="5752465" cy="2063750"/>
            <wp:effectExtent l="0" t="0" r="635" b="12700"/>
            <wp:docPr id="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9"/>
                    <pic:cNvPicPr>
                      <a:picLocks noChangeAspect="1"/>
                    </pic:cNvPicPr>
                  </pic:nvPicPr>
                  <pic:blipFill>
                    <a:blip r:embed="rId14"/>
                    <a:stretch>
                      <a:fillRect/>
                    </a:stretch>
                  </pic:blipFill>
                  <pic:spPr>
                    <a:xfrm>
                      <a:off x="0" y="0"/>
                      <a:ext cx="5752465" cy="2063750"/>
                    </a:xfrm>
                    <a:prstGeom prst="rect">
                      <a:avLst/>
                    </a:prstGeom>
                    <a:noFill/>
                    <a:ln>
                      <a:noFill/>
                    </a:ln>
                  </pic:spPr>
                </pic:pic>
              </a:graphicData>
            </a:graphic>
          </wp:inline>
        </w:drawing>
      </w:r>
    </w:p>
    <w:p w14:paraId="2B511D1F">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5点击“已投标”菜单，可查看已完成投标项目，可点击报价详情查看报价金额，点击撤销投标按钮可撤回投标。</w:t>
      </w:r>
    </w:p>
    <w:p w14:paraId="7E26844A">
      <w:pPr>
        <w:numPr>
          <w:ilvl w:val="0"/>
          <w:numId w:val="0"/>
        </w:numPr>
        <w:spacing w:line="360" w:lineRule="auto"/>
        <w:ind w:leftChars="0"/>
        <w:jc w:val="center"/>
        <w:rPr>
          <w:rFonts w:ascii="Calibri" w:hAnsi="Calibri" w:eastAsia="宋体" w:cs="Times New Roman"/>
          <w:szCs w:val="22"/>
        </w:rPr>
      </w:pPr>
      <w:r>
        <w:rPr>
          <w:rFonts w:ascii="Calibri" w:hAnsi="Calibri" w:eastAsia="宋体" w:cs="Times New Roman"/>
          <w:szCs w:val="22"/>
        </w:rPr>
        <w:drawing>
          <wp:inline distT="0" distB="0" distL="114300" distR="114300">
            <wp:extent cx="5748655" cy="3100070"/>
            <wp:effectExtent l="0" t="0" r="4445" b="5080"/>
            <wp:docPr id="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0"/>
                    <pic:cNvPicPr>
                      <a:picLocks noChangeAspect="1"/>
                    </pic:cNvPicPr>
                  </pic:nvPicPr>
                  <pic:blipFill>
                    <a:blip r:embed="rId15"/>
                    <a:stretch>
                      <a:fillRect/>
                    </a:stretch>
                  </pic:blipFill>
                  <pic:spPr>
                    <a:xfrm>
                      <a:off x="0" y="0"/>
                      <a:ext cx="5748655" cy="3100070"/>
                    </a:xfrm>
                    <a:prstGeom prst="rect">
                      <a:avLst/>
                    </a:prstGeom>
                    <a:noFill/>
                    <a:ln>
                      <a:noFill/>
                    </a:ln>
                  </pic:spPr>
                </pic:pic>
              </a:graphicData>
            </a:graphic>
          </wp:inline>
        </w:drawing>
      </w:r>
    </w:p>
    <w:p w14:paraId="42FAFD61"/>
    <w:p w14:paraId="79660AA2"/>
    <w:p w14:paraId="497D8122"/>
    <w:p w14:paraId="28D9FC08"/>
    <w:p w14:paraId="582AE836"/>
    <w:p w14:paraId="3378BCC6"/>
    <w:p w14:paraId="52821DB6">
      <w:pPr>
        <w:pStyle w:val="2"/>
        <w:keepNext/>
        <w:keepLines/>
        <w:pageBreakBefore w:val="0"/>
        <w:widowControl w:val="0"/>
        <w:kinsoku/>
        <w:wordWrap/>
        <w:overflowPunct/>
        <w:topLinePunct w:val="0"/>
        <w:autoSpaceDE/>
        <w:autoSpaceDN/>
        <w:bidi w:val="0"/>
        <w:adjustRightInd w:val="0"/>
        <w:snapToGrid w:val="0"/>
        <w:spacing w:before="0" w:after="0" w:line="560" w:lineRule="exact"/>
        <w:textAlignment w:val="auto"/>
        <w:rPr>
          <w:rFonts w:hint="eastAsia" w:ascii="黑体" w:hAnsi="Times New Roman" w:eastAsia="黑体" w:cs="Times New Roman"/>
          <w:sz w:val="44"/>
          <w:lang w:val="en-US" w:eastAsia="zh-CN"/>
        </w:rPr>
      </w:pPr>
    </w:p>
    <w:p w14:paraId="10FE4204">
      <w:pPr>
        <w:pStyle w:val="2"/>
        <w:keepNext/>
        <w:keepLines/>
        <w:pageBreakBefore w:val="0"/>
        <w:widowControl w:val="0"/>
        <w:kinsoku/>
        <w:wordWrap/>
        <w:overflowPunct/>
        <w:topLinePunct w:val="0"/>
        <w:autoSpaceDE/>
        <w:autoSpaceDN/>
        <w:bidi w:val="0"/>
        <w:adjustRightInd w:val="0"/>
        <w:snapToGrid w:val="0"/>
        <w:spacing w:before="0" w:after="0" w:line="560" w:lineRule="exact"/>
        <w:textAlignment w:val="auto"/>
        <w:rPr>
          <w:rFonts w:hint="eastAsia" w:ascii="黑体" w:hAnsi="Times New Roman" w:eastAsia="黑体" w:cs="Times New Roman"/>
          <w:sz w:val="44"/>
          <w:lang w:val="en-US" w:eastAsia="zh-CN"/>
        </w:rPr>
      </w:pPr>
    </w:p>
    <w:p w14:paraId="74DD3D9A">
      <w:pPr>
        <w:rPr>
          <w:rFonts w:hint="eastAsia" w:ascii="黑体" w:hAnsi="Times New Roman" w:eastAsia="黑体" w:cs="Times New Roman"/>
          <w:sz w:val="44"/>
          <w:lang w:val="en-US" w:eastAsia="zh-CN"/>
        </w:rPr>
      </w:pPr>
    </w:p>
    <w:p w14:paraId="28F8BC69"/>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C1409">
    <w:pPr>
      <w:pStyle w:val="6"/>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419658">
    <w:pPr>
      <w:pStyle w:val="7"/>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CC45D0"/>
    <w:rsid w:val="09882314"/>
    <w:rsid w:val="0CE5533E"/>
    <w:rsid w:val="0D4A2A6A"/>
    <w:rsid w:val="14A14709"/>
    <w:rsid w:val="21704943"/>
    <w:rsid w:val="22CC769A"/>
    <w:rsid w:val="24731F99"/>
    <w:rsid w:val="24D37C68"/>
    <w:rsid w:val="2F2F3D79"/>
    <w:rsid w:val="30850AA8"/>
    <w:rsid w:val="31E3175D"/>
    <w:rsid w:val="31E96171"/>
    <w:rsid w:val="36D544A3"/>
    <w:rsid w:val="3E5F6461"/>
    <w:rsid w:val="428339FF"/>
    <w:rsid w:val="429531AD"/>
    <w:rsid w:val="45D84536"/>
    <w:rsid w:val="489442EC"/>
    <w:rsid w:val="4A704CC5"/>
    <w:rsid w:val="4D017CD3"/>
    <w:rsid w:val="5A650C51"/>
    <w:rsid w:val="5ED5205C"/>
    <w:rsid w:val="602C7CEB"/>
    <w:rsid w:val="6C8F0342"/>
    <w:rsid w:val="74C23A26"/>
    <w:rsid w:val="79D13F02"/>
    <w:rsid w:val="7EE429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300" w:lineRule="auto"/>
      <w:jc w:val="center"/>
      <w:outlineLvl w:val="0"/>
    </w:pPr>
    <w:rPr>
      <w:b/>
      <w:bCs/>
      <w:kern w:val="44"/>
      <w:sz w:val="32"/>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Cs/>
      <w:sz w:val="32"/>
      <w:szCs w:val="32"/>
    </w:rPr>
  </w:style>
  <w:style w:type="paragraph" w:styleId="4">
    <w:name w:val="heading 3"/>
    <w:basedOn w:val="1"/>
    <w:next w:val="1"/>
    <w:qFormat/>
    <w:uiPriority w:val="0"/>
    <w:pPr>
      <w:keepNext/>
      <w:keepLines/>
      <w:spacing w:before="120" w:after="120" w:line="300" w:lineRule="auto"/>
      <w:outlineLvl w:val="2"/>
    </w:pPr>
    <w:rPr>
      <w:rFonts w:ascii="宋体"/>
      <w:b/>
      <w:bCs/>
      <w:sz w:val="24"/>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10">
    <w:name w:val="Strong"/>
    <w:basedOn w:val="9"/>
    <w:qFormat/>
    <w:uiPriority w:val="0"/>
    <w:rPr>
      <w:b/>
    </w:rPr>
  </w:style>
  <w:style w:type="character" w:styleId="11">
    <w:name w:val="page number"/>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2096</Words>
  <Characters>2366</Characters>
  <Lines>0</Lines>
  <Paragraphs>0</Paragraphs>
  <TotalTime>214</TotalTime>
  <ScaleCrop>false</ScaleCrop>
  <LinksUpToDate>false</LinksUpToDate>
  <CharactersWithSpaces>2397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2026-04-14T03:50:00Z</dcterms:created>
  <dc:creator>Administrator</dc:creator>
  <cp:lastModifiedBy>晒娃狂魔666</cp:lastModifiedBy>
  <dcterms:modified xsi:type="dcterms:W3CDTF">2026-07-21T05:43:07Z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eyJoZGlkIjoiZjFhMjI5NWU1MWYyN2VmYThlMDhhMzdhM2JjNzg5ZmUiLCJ1c2VySWQiOiI3Mjc2NjE1NTYifQ==</vt:lpwstr>
  </property>
  <property fmtid="{D5CDD505-2E9C-101B-9397-08002B2CF9AE}" pid="4" name="ICV">
    <vt:lpwstr>57CA5285029D419988F8E14631766826_13</vt:lpwstr>
  </property>
</Properties>
</file>